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9680" w14:textId="45D858A9" w:rsidR="00A81881" w:rsidRDefault="00651796" w:rsidP="0060497B">
      <w:pPr>
        <w:pStyle w:val="Heading1"/>
      </w:pPr>
      <w:r>
        <w:t>Improving doctors’ letter</w:t>
      </w:r>
      <w:r w:rsidR="00F5073D">
        <w:t>s</w:t>
      </w:r>
      <w:r>
        <w:t xml:space="preserve"> </w:t>
      </w:r>
      <w:r w:rsidR="00F5073D">
        <w:t>–</w:t>
      </w:r>
      <w:r>
        <w:t xml:space="preserve"> </w:t>
      </w:r>
      <w:r w:rsidR="00F5073D">
        <w:t>towards rivers of living water</w:t>
      </w:r>
    </w:p>
    <w:p w14:paraId="2DA9B69A" w14:textId="77777777" w:rsidR="00574EA1" w:rsidRDefault="00574EA1" w:rsidP="00A55129"/>
    <w:p w14:paraId="25B599F8" w14:textId="67D95500" w:rsidR="00B44D90" w:rsidRDefault="005A4553" w:rsidP="00A55129">
      <w:r>
        <w:t>With World Patient Safety day having come and gone in 2020</w:t>
      </w:r>
      <w:r w:rsidR="00990169">
        <w:fldChar w:fldCharType="begin"/>
      </w:r>
      <w:r w:rsidR="00990169">
        <w:instrText xml:space="preserve"> ADDIN ZOTERO_ITEM CSL_CITATION {"citationID":"aq9vZNhb","properties":{"formattedCitation":"(1)","plainCitation":"(1)","noteIndex":0},"citationItems":[{"id":9136,"uris":["http://zotero.org/users/6495881/items/48ITIHNK"],"uri":["http://zotero.org/users/6495881/items/48ITIHNK"],"itemData":{"id":9136,"type":"webpage","container-title":"WHO","note":"publisher: World Health Organization","title":"World Patient Safety Day","URL":"http://www.who.int/patientsafety/world-patient-safety-day/en/","author":[{"literal":"World Health Organisation"}],"accessed":{"date-parts":[["2020",10,8]]},"issued":{"date-parts":[["2020",7,20]]}}}],"schema":"https://github.com/citation-style-language/schema/raw/master/csl-citation.json"} </w:instrText>
      </w:r>
      <w:r w:rsidR="00990169">
        <w:fldChar w:fldCharType="separate"/>
      </w:r>
      <w:r w:rsidR="00990169" w:rsidRPr="00990169">
        <w:rPr>
          <w:rFonts w:ascii="Calibri" w:hAnsi="Calibri" w:cs="Calibri"/>
        </w:rPr>
        <w:t>(1)</w:t>
      </w:r>
      <w:r w:rsidR="00990169">
        <w:fldChar w:fldCharType="end"/>
      </w:r>
      <w:r w:rsidR="00990169">
        <w:t xml:space="preserve">, we reflected on the role that </w:t>
      </w:r>
      <w:r w:rsidR="00BB724D">
        <w:t>written c</w:t>
      </w:r>
      <w:r w:rsidR="00263C8B">
        <w:t xml:space="preserve">ommunication between </w:t>
      </w:r>
      <w:r w:rsidR="000F052E">
        <w:t>doctor</w:t>
      </w:r>
      <w:r w:rsidR="00A403F2">
        <w:t xml:space="preserve">s </w:t>
      </w:r>
      <w:r w:rsidR="00990169">
        <w:t xml:space="preserve">plays in </w:t>
      </w:r>
      <w:r w:rsidR="00263C8B">
        <w:t xml:space="preserve">safe </w:t>
      </w:r>
      <w:r w:rsidR="008605FF">
        <w:t>health</w:t>
      </w:r>
      <w:r w:rsidR="00263C8B">
        <w:t>care.</w:t>
      </w:r>
      <w:r w:rsidR="00FE10E9">
        <w:t xml:space="preserve"> T</w:t>
      </w:r>
      <w:r w:rsidR="001328F1">
        <w:t xml:space="preserve">he </w:t>
      </w:r>
      <w:r w:rsidR="00E04DA7" w:rsidRPr="001328F1">
        <w:rPr>
          <w:rFonts w:ascii="Calibri" w:hAnsi="Calibri" w:cs="Calibri"/>
        </w:rPr>
        <w:t>Australian Commission on Safety and Quality in Health Care</w:t>
      </w:r>
      <w:r w:rsidR="00E04DA7">
        <w:t xml:space="preserve"> </w:t>
      </w:r>
      <w:r w:rsidR="00605E2D">
        <w:t xml:space="preserve">has </w:t>
      </w:r>
      <w:r w:rsidR="001328F1">
        <w:t>a Communicating for Safety Standard that “aims to ensure timely, purpose-driven and effective communication and documentation”</w:t>
      </w:r>
      <w:r w:rsidR="001328F1">
        <w:fldChar w:fldCharType="begin"/>
      </w:r>
      <w:r w:rsidR="00EA0F7E">
        <w:instrText xml:space="preserve"> ADDIN ZOTERO_ITEM CSL_CITATION {"citationID":"MWahODu8","properties":{"formattedCitation":"(2)","plainCitation":"(2)","noteIndex":0},"citationItems":[{"id":9138,"uris":["http://zotero.org/users/6495881/items/W4DPYCLP"],"uri":["http://zotero.org/users/6495881/items/W4DPYCLP"],"itemData":{"id":9138,"type":"webpage","title":"Communicating for Safety Standard","URL":"https://www.safetyandquality.gov.au/standards/nsqhs-standards/communicating-safety-standard","author":[{"literal":"Australian Commission on Safety and Quality in Health Care"}],"accessed":{"date-parts":[["2020",10,8]]}}}],"schema":"https://github.com/citation-style-language/schema/raw/master/csl-citation.json"} </w:instrText>
      </w:r>
      <w:r w:rsidR="001328F1">
        <w:fldChar w:fldCharType="separate"/>
      </w:r>
      <w:r w:rsidR="001328F1" w:rsidRPr="001328F1">
        <w:rPr>
          <w:rFonts w:ascii="Calibri" w:hAnsi="Calibri" w:cs="Calibri"/>
        </w:rPr>
        <w:t>(2)</w:t>
      </w:r>
      <w:r w:rsidR="001328F1">
        <w:fldChar w:fldCharType="end"/>
      </w:r>
      <w:r w:rsidR="00E30A72">
        <w:t xml:space="preserve"> and i</w:t>
      </w:r>
      <w:r w:rsidR="00534268">
        <w:t xml:space="preserve">n 2002, </w:t>
      </w:r>
      <w:r w:rsidR="00263C8B">
        <w:t>Tattersall</w:t>
      </w:r>
      <w:r w:rsidR="00A84720">
        <w:t>,</w:t>
      </w:r>
      <w:r w:rsidR="00263C8B">
        <w:t xml:space="preserve"> et al. called for</w:t>
      </w:r>
      <w:r w:rsidR="00BB724D">
        <w:t xml:space="preserve"> </w:t>
      </w:r>
      <w:r w:rsidR="00263C8B">
        <w:t>improve</w:t>
      </w:r>
      <w:r w:rsidR="00BB724D">
        <w:t xml:space="preserve">d </w:t>
      </w:r>
      <w:r w:rsidR="001C371C">
        <w:t xml:space="preserve">standards in </w:t>
      </w:r>
      <w:r w:rsidR="000F052E">
        <w:t>doctors’</w:t>
      </w:r>
      <w:r w:rsidR="00A403F2">
        <w:t xml:space="preserve"> </w:t>
      </w:r>
      <w:r w:rsidR="005112CA">
        <w:t>letters</w:t>
      </w:r>
      <w:r w:rsidR="00263C8B">
        <w:fldChar w:fldCharType="begin"/>
      </w:r>
      <w:r w:rsidR="001328F1">
        <w:instrText xml:space="preserve"> ADDIN ZOTERO_ITEM CSL_CITATION {"citationID":"KakY7nWy","properties":{"formattedCitation":"(3)","plainCitation":"(3)","noteIndex":0},"citationItems":[{"id":182,"uris":["http://zotero.org/groups/2501078/items/Z95LRXFX"],"uri":["http://zotero.org/groups/2501078/items/Z95LRXFX"],"itemData":{"id":182,"type":"article-journal","abstract":"Information contained in letters of referral and reply often does not meet the information needs of letter recipients. </w:instrText>
      </w:r>
      <w:r w:rsidR="001328F1">
        <w:rPr>
          <w:rFonts w:ascii="Arial" w:hAnsi="Arial" w:cs="Arial"/>
        </w:rPr>
        <w:instrText>■</w:instrText>
      </w:r>
      <w:r w:rsidR="001328F1">
        <w:instrText xml:space="preserve"> Missing reports of previous investigations and insufficient detail in the referral letter to specialists are the most serious and common problems. </w:instrText>
      </w:r>
      <w:r w:rsidR="001328F1">
        <w:rPr>
          <w:rFonts w:ascii="Arial" w:hAnsi="Arial" w:cs="Arial"/>
        </w:rPr>
        <w:instrText>■</w:instrText>
      </w:r>
      <w:r w:rsidR="001328F1">
        <w:instrText xml:space="preserve"> General practitioners prefer structured, computergenerated letters to unstructured, dictated letters. </w:instrText>
      </w:r>
      <w:r w:rsidR="001328F1">
        <w:rPr>
          <w:rFonts w:ascii="Arial" w:hAnsi="Arial" w:cs="Arial"/>
        </w:rPr>
        <w:instrText>■</w:instrText>
      </w:r>
      <w:r w:rsidR="001328F1">
        <w:instrText xml:space="preserve"> Referring surgeons and GPs identify delay in receiving the reply letter and insufficient detail as relatively common problems after a new patient consultation. They want the reply letter to describe the proposed treatment, expected outcomes and any psychosocial concerns, yet these items are often omitted.","container-title":"Medical Journal of Australia","language":"en","page":"5","source":"Zotero","title":"Improving doctors’ letters","volume":"177","author":[{"family":"Tattersall","given":"Martin H N"},{"family":"Butow","given":"Phyllis N"},{"family":"Brown","given":"Judith E"},{"family":"Thompson","given":"John F"}],"issued":{"date-parts":[["2002"]]}}}],"schema":"https://github.com/citation-style-language/schema/raw/master/csl-citation.json"} </w:instrText>
      </w:r>
      <w:r w:rsidR="00263C8B">
        <w:fldChar w:fldCharType="separate"/>
      </w:r>
      <w:r w:rsidR="001328F1" w:rsidRPr="001328F1">
        <w:rPr>
          <w:rFonts w:ascii="Calibri" w:hAnsi="Calibri" w:cs="Calibri"/>
        </w:rPr>
        <w:t>(3)</w:t>
      </w:r>
      <w:r w:rsidR="00263C8B">
        <w:fldChar w:fldCharType="end"/>
      </w:r>
      <w:r w:rsidR="00E30A72">
        <w:t>.</w:t>
      </w:r>
      <w:r w:rsidR="00534268">
        <w:t xml:space="preserve"> </w:t>
      </w:r>
      <w:r w:rsidR="00E30A72">
        <w:t>Y</w:t>
      </w:r>
      <w:r w:rsidR="00534268">
        <w:t>et</w:t>
      </w:r>
      <w:r w:rsidR="00C61B62">
        <w:t xml:space="preserve"> </w:t>
      </w:r>
      <w:r w:rsidR="00534268">
        <w:t>a</w:t>
      </w:r>
      <w:r w:rsidR="00A03868">
        <w:t>lmost two decades later</w:t>
      </w:r>
      <w:r w:rsidR="00534268">
        <w:t xml:space="preserve">, we feel </w:t>
      </w:r>
      <w:r w:rsidR="00E04DA7">
        <w:t xml:space="preserve">that </w:t>
      </w:r>
      <w:r w:rsidR="00384E7D">
        <w:t xml:space="preserve">many </w:t>
      </w:r>
      <w:r w:rsidR="00E04DA7">
        <w:t>doctors’ letters</w:t>
      </w:r>
      <w:r w:rsidR="00384E7D">
        <w:t xml:space="preserve"> still</w:t>
      </w:r>
      <w:r w:rsidR="00E04DA7">
        <w:t xml:space="preserve"> fail </w:t>
      </w:r>
      <w:r w:rsidR="00384E7D">
        <w:t>the C</w:t>
      </w:r>
      <w:r w:rsidR="00E04DA7">
        <w:t xml:space="preserve">ommunicating </w:t>
      </w:r>
      <w:r w:rsidR="00384E7D">
        <w:t>for S</w:t>
      </w:r>
      <w:r w:rsidR="00E04DA7">
        <w:t xml:space="preserve">afety </w:t>
      </w:r>
      <w:r w:rsidR="00384E7D">
        <w:t>S</w:t>
      </w:r>
      <w:r w:rsidR="00E04DA7">
        <w:t>tandard’s aim</w:t>
      </w:r>
      <w:r w:rsidR="00534268">
        <w:t>.</w:t>
      </w:r>
      <w:r w:rsidR="000E509A">
        <w:t xml:space="preserve"> </w:t>
      </w:r>
      <w:r w:rsidR="00384E7D">
        <w:t>W</w:t>
      </w:r>
      <w:r w:rsidR="00534268">
        <w:t xml:space="preserve">hy </w:t>
      </w:r>
      <w:r w:rsidR="00605E2D">
        <w:t xml:space="preserve">are doctors’ letters </w:t>
      </w:r>
      <w:r w:rsidR="00384E7D">
        <w:t>still an issue?</w:t>
      </w:r>
      <w:r w:rsidR="00534268">
        <w:t xml:space="preserve"> </w:t>
      </w:r>
      <w:r w:rsidR="00DA584C">
        <w:t xml:space="preserve">Can we learn ways of improving them </w:t>
      </w:r>
      <w:r w:rsidR="00E63D71">
        <w:t>from the human</w:t>
      </w:r>
      <w:r w:rsidR="00653FD7">
        <w:t>-</w:t>
      </w:r>
      <w:r w:rsidR="00E63D71">
        <w:t>factors literature</w:t>
      </w:r>
      <w:r w:rsidR="00384E7D">
        <w:t>?</w:t>
      </w:r>
      <w:r w:rsidR="00DA584C">
        <w:t xml:space="preserve"> Are there other barriers which prevent </w:t>
      </w:r>
      <w:r w:rsidR="00653FD7">
        <w:t>our letters</w:t>
      </w:r>
      <w:r w:rsidR="00E30A72">
        <w:t xml:space="preserve"> meeting the standard</w:t>
      </w:r>
      <w:r w:rsidR="00DA584C">
        <w:t>?</w:t>
      </w:r>
    </w:p>
    <w:p w14:paraId="23FBBB2B" w14:textId="03ACFAE5" w:rsidR="0060497B" w:rsidRDefault="0060497B" w:rsidP="0060497B">
      <w:pPr>
        <w:pStyle w:val="Heading2"/>
      </w:pPr>
      <w:r>
        <w:t>Dual purpose</w:t>
      </w:r>
    </w:p>
    <w:p w14:paraId="198967CE" w14:textId="6E0A2DB4" w:rsidR="00F13363" w:rsidRDefault="00E55093" w:rsidP="00A55129">
      <w:r>
        <w:t xml:space="preserve">Doctors’ letters are often poorly written because they are trying to serve a dual purpose </w:t>
      </w:r>
      <w:r w:rsidR="00C61B62">
        <w:t xml:space="preserve">– as communication to the </w:t>
      </w:r>
      <w:r w:rsidR="00A403F2">
        <w:t xml:space="preserve">referring </w:t>
      </w:r>
      <w:r w:rsidR="000F052E">
        <w:t>doctor</w:t>
      </w:r>
      <w:r w:rsidR="00C61B62">
        <w:t xml:space="preserve">, </w:t>
      </w:r>
      <w:r w:rsidR="000A5826">
        <w:t>and</w:t>
      </w:r>
      <w:r w:rsidR="00B44D90">
        <w:t xml:space="preserve"> </w:t>
      </w:r>
      <w:r w:rsidR="00C61B62">
        <w:t>a record of the consultation</w:t>
      </w:r>
      <w:r>
        <w:fldChar w:fldCharType="begin"/>
      </w:r>
      <w:r w:rsidR="001328F1">
        <w:instrText xml:space="preserve"> ADDIN ZOTERO_ITEM CSL_CITATION {"citationID":"JtYEfVmh","properties":{"formattedCitation":"(3,4)","plainCitation":"(3,4)","noteIndex":0},"citationItems":[{"id":183,"uris":["http://zotero.org/groups/2501078/items/2CMMKMQQ"],"uri":["http://zotero.org/groups/2501078/items/2CMMKMQQ"],"itemData":{"id":183,"type":"article-journal","abstract":"Effective communication between the consultants and physicians form an integral foundation of effective and expert patient care. A broad review of the literature has not been undertaken to determine the components of a consultant’s letter of most value to the referring physician. We aimed to identify the components of a consultant’s letter preferred by referring physicians.","container-title":"Journal of General Internal Medicine","DOI":"10.1007/s11606-018-4356-3","ISSN":"1525-1497","issue":"6","journalAbbreviation":"J GEN INTERN MED","language":"en","page":"948-954","source":"Springer Link","title":"Valued Components of a Consultant Letter from Referring Physicians’ Perspective: a Systematic Literature Synthesis","title-short":"Valued Components of a Consultant Letter from Referring Physicians’ Perspective","volume":"33","author":[{"family":"Rash","given":"Arjun H."},{"family":"Sheldon","given":"Robert"},{"family":"Donald","given":"Maoliosa"},{"family":"Eronmwon","given":"Cindy"},{"family":"Kuriachan","given":"Vikas P."}],"issued":{"date-parts":[["2018",6,1]]}}},{"id":182,"uris":["http://zotero.org/groups/2501078/items/Z95LRXFX"],"uri":["http://zotero.org/groups/2501078/items/Z95LRXFX"],"itemData":{"id":182,"type":"article-journal","abstract":"Information contained in letters of referral and reply often does not meet the information needs of letter recipients. </w:instrText>
      </w:r>
      <w:r w:rsidR="001328F1">
        <w:rPr>
          <w:rFonts w:ascii="Arial" w:hAnsi="Arial" w:cs="Arial"/>
        </w:rPr>
        <w:instrText>■</w:instrText>
      </w:r>
      <w:r w:rsidR="001328F1">
        <w:instrText xml:space="preserve"> Missing reports of previous investigations and insufficient detail in the referral letter to specialists are the most serious and common problems. </w:instrText>
      </w:r>
      <w:r w:rsidR="001328F1">
        <w:rPr>
          <w:rFonts w:ascii="Arial" w:hAnsi="Arial" w:cs="Arial"/>
        </w:rPr>
        <w:instrText>■</w:instrText>
      </w:r>
      <w:r w:rsidR="001328F1">
        <w:instrText xml:space="preserve"> General practitioners prefer structured, computergenerated letters to unstructured, dictated letters. </w:instrText>
      </w:r>
      <w:r w:rsidR="001328F1">
        <w:rPr>
          <w:rFonts w:ascii="Arial" w:hAnsi="Arial" w:cs="Arial"/>
        </w:rPr>
        <w:instrText>■</w:instrText>
      </w:r>
      <w:r w:rsidR="001328F1">
        <w:instrText xml:space="preserve"> Referring surgeons and GPs identify delay in receiving the reply letter and insufficient detail as relatively common problems after a new patient consultation. They want the reply letter to describe the proposed treatment, expected outcomes and any psychosocial concerns, yet these items are often omitted.","container-title":"Medical Journal of Australia","language":"en","page":"5","source":"Zotero","title":"Improving doctors’ letters","volume":"177","author":[{"family":"Tattersall","given":"Martin H N"},{"family":"Butow","given":"Phyllis N"},{"family":"Brown","given":"Judith E"},{"family":"Thompson","given":"John F"}],"issued":{"date-parts":[["2002"]]}}}],"schema":"https://github.com/citation-style-language/schema/raw/master/csl-citation.json"} </w:instrText>
      </w:r>
      <w:r>
        <w:fldChar w:fldCharType="separate"/>
      </w:r>
      <w:r w:rsidR="001328F1" w:rsidRPr="001328F1">
        <w:rPr>
          <w:rFonts w:ascii="Calibri" w:hAnsi="Calibri" w:cs="Calibri"/>
        </w:rPr>
        <w:t>(3,4)</w:t>
      </w:r>
      <w:r>
        <w:fldChar w:fldCharType="end"/>
      </w:r>
      <w:r w:rsidR="004E43AC">
        <w:t>.</w:t>
      </w:r>
      <w:r w:rsidR="00F5073D">
        <w:t xml:space="preserve"> If letters are the rivers of </w:t>
      </w:r>
      <w:r w:rsidR="00E63D71">
        <w:t xml:space="preserve">communication </w:t>
      </w:r>
      <w:r w:rsidR="00F5073D">
        <w:t>between the specialist and</w:t>
      </w:r>
      <w:r w:rsidR="00FE10E9">
        <w:t xml:space="preserve"> the</w:t>
      </w:r>
      <w:r w:rsidR="00F5073D">
        <w:t xml:space="preserve"> general practi</w:t>
      </w:r>
      <w:r w:rsidR="00FE10E9">
        <w:t>tioner</w:t>
      </w:r>
      <w:r w:rsidR="00F5073D">
        <w:t>, then</w:t>
      </w:r>
      <w:r w:rsidR="00E32964">
        <w:t xml:space="preserve"> </w:t>
      </w:r>
      <w:r w:rsidR="00384E7D">
        <w:t xml:space="preserve">long and unfocussed </w:t>
      </w:r>
      <w:r w:rsidR="00F5073D">
        <w:t>dual</w:t>
      </w:r>
      <w:r w:rsidR="0096013F">
        <w:t>-</w:t>
      </w:r>
      <w:r w:rsidR="00F5073D">
        <w:t xml:space="preserve">purpose letters are </w:t>
      </w:r>
      <w:r w:rsidR="00680A01">
        <w:t xml:space="preserve">rivers </w:t>
      </w:r>
      <w:r w:rsidR="00F5073D">
        <w:t xml:space="preserve">littered with </w:t>
      </w:r>
      <w:r w:rsidR="004E43AC">
        <w:t xml:space="preserve">unfiltered </w:t>
      </w:r>
      <w:r w:rsidR="004E43AC" w:rsidRPr="008605FF">
        <w:t>data</w:t>
      </w:r>
      <w:r w:rsidR="004E43AC">
        <w:t xml:space="preserve"> </w:t>
      </w:r>
      <w:r w:rsidR="00384E7D">
        <w:t>(</w:t>
      </w:r>
      <w:r w:rsidR="00384E7D" w:rsidRPr="008605FF">
        <w:t xml:space="preserve">much of </w:t>
      </w:r>
      <w:r w:rsidR="00384E7D">
        <w:t xml:space="preserve">it </w:t>
      </w:r>
      <w:r w:rsidR="00384E7D" w:rsidRPr="008605FF">
        <w:t xml:space="preserve">already known to the referring </w:t>
      </w:r>
      <w:r w:rsidR="00384E7D">
        <w:t>doctor</w:t>
      </w:r>
      <w:r w:rsidR="00A20453">
        <w:t>)</w:t>
      </w:r>
      <w:r w:rsidR="00A20453" w:rsidRPr="00A20453">
        <w:t xml:space="preserve"> that turn the water into a murky mess</w:t>
      </w:r>
      <w:r w:rsidR="008111E1">
        <w:t>.</w:t>
      </w:r>
      <w:r w:rsidR="00C61B62">
        <w:t xml:space="preserve"> </w:t>
      </w:r>
      <w:r w:rsidR="002C7D55">
        <w:t>Instead, t</w:t>
      </w:r>
      <w:r w:rsidR="00F5073D">
        <w:t xml:space="preserve">hese letters </w:t>
      </w:r>
      <w:r w:rsidR="002C7D55">
        <w:t xml:space="preserve">should </w:t>
      </w:r>
      <w:r w:rsidR="00F5073D">
        <w:t>be</w:t>
      </w:r>
      <w:r w:rsidR="00FE10E9">
        <w:t xml:space="preserve"> </w:t>
      </w:r>
      <w:r w:rsidR="00F5073D">
        <w:t xml:space="preserve">distilled </w:t>
      </w:r>
      <w:r w:rsidR="002C7D55">
        <w:t xml:space="preserve">by </w:t>
      </w:r>
      <w:r w:rsidR="00EA0F7E">
        <w:t xml:space="preserve">the </w:t>
      </w:r>
      <w:r w:rsidR="001D559E">
        <w:t>crystal-clear</w:t>
      </w:r>
      <w:r w:rsidR="002C7D55">
        <w:t xml:space="preserve"> </w:t>
      </w:r>
      <w:r w:rsidR="00EA0F7E">
        <w:t xml:space="preserve">purpose of informing the reader (the referring doctor) </w:t>
      </w:r>
      <w:r w:rsidR="008605FF">
        <w:t>of the salient issues relevant to the consultation</w:t>
      </w:r>
      <w:r w:rsidR="00FB11C6">
        <w:t xml:space="preserve">. </w:t>
      </w:r>
    </w:p>
    <w:p w14:paraId="119182AD" w14:textId="42F77081" w:rsidR="0060497B" w:rsidRDefault="0060497B" w:rsidP="0060497B">
      <w:pPr>
        <w:pStyle w:val="Heading2"/>
      </w:pPr>
      <w:r>
        <w:t>Humans factor</w:t>
      </w:r>
      <w:r w:rsidR="008F4694">
        <w:t>s</w:t>
      </w:r>
      <w:r>
        <w:t xml:space="preserve"> – cognitive load</w:t>
      </w:r>
      <w:r w:rsidR="003D4F89">
        <w:t xml:space="preserve"> and reading speed</w:t>
      </w:r>
    </w:p>
    <w:p w14:paraId="2BBD03E0" w14:textId="097659A4" w:rsidR="00184AF1" w:rsidRDefault="00E55093" w:rsidP="0054175F">
      <w:r>
        <w:t>Cognitive load theory informs us that t</w:t>
      </w:r>
      <w:r w:rsidR="00087A52">
        <w:t>he</w:t>
      </w:r>
      <w:r w:rsidR="00DE4EC9">
        <w:t xml:space="preserve"> mind</w:t>
      </w:r>
      <w:r>
        <w:t xml:space="preserve"> </w:t>
      </w:r>
      <w:r w:rsidR="002D3E5B">
        <w:t xml:space="preserve">has limited ability </w:t>
      </w:r>
      <w:r>
        <w:t xml:space="preserve">to </w:t>
      </w:r>
      <w:r w:rsidR="00DE4EC9">
        <w:t xml:space="preserve">process </w:t>
      </w:r>
      <w:r w:rsidR="002D3E5B">
        <w:t xml:space="preserve">large </w:t>
      </w:r>
      <w:r w:rsidR="00DE4EC9">
        <w:t>amounts of disorganised information</w:t>
      </w:r>
      <w:r w:rsidR="000F63A0">
        <w:fldChar w:fldCharType="begin"/>
      </w:r>
      <w:r w:rsidR="001328F1">
        <w:instrText xml:space="preserve"> ADDIN ZOTERO_ITEM CSL_CITATION {"citationID":"ZoBYYJfJ","properties":{"formattedCitation":"(5)","plainCitation":"(5)","noteIndex":0},"citationItems":[{"id":7082,"uris":["http://zotero.org/groups/2501078/items/QFJU9UM9"],"uri":["http://zotero.org/groups/2501078/items/QFJU9UM9"],"itemData":{"id":7082,"type":"chapter","abstract":"Cognitive load theory uses evolutionary theory to consider human cognitive architecture and uses that architecture to devise novel, instructional procedures. The theory assumes that knowledge can be divided into biologically primary knowledge that we have evolved to acquire and biologically secondary knowledge that is important for cultural reasons. Secondary knowledge, unlike primary knowledge, is the subject of instruction. It is processed in a manner that is analogous to the manner in which biological evolution processes information. When dealing with secondary knowledge, human cognition requires a very large information store, the contents of which are acquired largely by obtaining information from other information stores. Novel information is generated by a random generate and test procedure with only very limited amounts of novel information able to be processed at any given time. In contrast, very large amounts of organized information stored in the information store can be processed in order to generate complex action. This architecture has been used to generate instructional procedures, summarized in this chapter.","container-title":"Psychology of Learning and Motivation","language":"en","note":"DOI: 10.1016/B978-0-12-387691-1.00002-8","page":"37-76","publisher":"Academic Press","source":"ScienceDirect","title":"Cognitive Load Theory","URL":"http://www.sciencedirect.com/science/article/pii/B9780123876911000028","volume":"55","author":[{"family":"Sweller","given":"John"}],"editor":[{"family":"Mestre","given":"Jose P."},{"family":"Ross","given":"Brian H."}],"accessed":{"date-parts":[["2020",6,18]]},"issued":{"date-parts":[["2011",1,1]]}}}],"schema":"https://github.com/citation-style-language/schema/raw/master/csl-citation.json"} </w:instrText>
      </w:r>
      <w:r w:rsidR="000F63A0">
        <w:fldChar w:fldCharType="separate"/>
      </w:r>
      <w:r w:rsidR="001328F1" w:rsidRPr="001328F1">
        <w:rPr>
          <w:rFonts w:ascii="Calibri" w:hAnsi="Calibri" w:cs="Calibri"/>
        </w:rPr>
        <w:t>(5)</w:t>
      </w:r>
      <w:r w:rsidR="000F63A0">
        <w:fldChar w:fldCharType="end"/>
      </w:r>
      <w:r w:rsidR="000F63A0">
        <w:t>. Therefore it is not surprising that the literature points to the need for clarity and structure in the letter to foster readability</w:t>
      </w:r>
      <w:r w:rsidR="000F63A0">
        <w:fldChar w:fldCharType="begin"/>
      </w:r>
      <w:r w:rsidR="001328F1">
        <w:instrText xml:space="preserve"> ADDIN ZOTERO_ITEM CSL_CITATION {"citationID":"eVlDpm88","properties":{"formattedCitation":"(4,6,7)","plainCitation":"(4,6,7)","noteIndex":0},"citationItems":[{"id":7300,"uris":["http://zotero.org/users/6495881/items/RWNZVVGI"],"uri":["http://zotero.org/users/6495881/items/RWNZVVGI"],"itemData":{"id":7300,"type":"article-journal","abstract":"Objectives Effective and efficient communication is crucial in healthcare. Written communication remains the most prevalent form of communication between specialised and primary care. We aimed at reviewing the literature on the quality of written communication, the impact of communication inefficiencies and recommendations to improve written communication in healthcare. Design Narrative literature review. Methods A search was carried out on the databases PubMed, Web of Science and The Cochrane Library by means of the (MeSH)terms ‘communication’, ‘primary health care’, ‘correspondence’, ‘patient safety’, ‘patient handoff’ and ‘continuity of patient care’. Reviewers screened 4609 records and 462 full texts were checked according following inclusion criteria: (1) publication between January 1985 and March 2014, (2) availability as full text in English, (3) categorisation as original research, reviews, meta-analyses or letters to the editor. Results A total of 69 articles were included in this review. It was found that poor communication can lead to various negative outcomes: discontinuity of care, compromise of patient safety, patient dissatisfaction and inefficient use of valuable resources, both in unnecessary investigations and physician worktime as well as economic consequences. Conclusion There is room for improvement of both content and timeliness of written communication. The delineation of ownership of the communication process should be clear. Peer review, process indicators and follow-up tools are required to measure the impact of quality improvement initiatives. Communication between caregivers should feature more prominently in graduate and postgraduate training, to become engraved as an essential skill and quality characteristic of each caregiver.","container-title":"International Journal of Clinical Practice","DOI":"10.1111/ijcp.12686","ISSN":"1742-1241","issue":"11","language":"en","page":"1257-1267","source":"Wiley Online Library","title":"Communication in healthcare: a narrative review of the literature and practical recommendations","title-short":"Communication in healthcare","volume":"69","author":[{"family":"Vermeir","given":"P."},{"family":"Vandijck","given":"D."},{"family":"Degroote","given":"S."},{"family":"Peleman","given":"R."},{"family":"Verhaeghe","given":"R."},{"family":"Mortier","given":"E."},{"family":"Hallaert","given":"G."},{"family":"Daele","given":"S. Van"},{"family":"Buylaert","given":"W."},{"family":"Vogelaers","given":"D."}],"issued":{"date-parts":[["2015"]]}}},{"id":183,"uris":["http://zotero.org/groups/2501078/items/2CMMKMQQ"],"uri":["http://zotero.org/groups/2501078/items/2CMMKMQQ"],"itemData":{"id":183,"type":"article-journal","abstract":"Effective communication between the consultants and physicians form an integral foundation of effective and expert patient care. A broad review of the literature has not been undertaken to determine the components of a consultant’s letter of most value to the referring physician. We aimed to identify the components of a consultant’s letter preferred by referring physicians.","container-title":"Journal of General Internal Medicine","DOI":"10.1007/s11606-018-4356-3","ISSN":"1525-1497","issue":"6","journalAbbreviation":"J GEN INTERN MED","language":"en","page":"948-954","source":"Springer Link","title":"Valued Components of a Consultant Letter from Referring Physicians’ Perspective: a Systematic Literature Synthesis","title-short":"Valued Components of a Consultant Letter from Referring Physicians’ Perspective","volume":"33","author":[{"family":"Rash","given":"Arjun H."},{"family":"Sheldon","given":"Robert"},{"family":"Donald","given":"Maoliosa"},{"family":"Eronmwon","given":"Cindy"},{"family":"Kuriachan","given":"Vikas P."}],"issued":{"date-parts":[["2018",6,1]]}}},{"id":180,"uris":["http://zotero.org/groups/2501078/items/ENFVLYD3"],"uri":["http://zotero.org/groups/2501078/items/ENFVLYD3"],"itemData":{"id":180,"type":"article-journal","abstract":"Background: Effective communication between primary care providers (PCPs) and specialists plays a key role in providing high-quality patient care. A high-quality referral process should involve referral letters containing all information that is necessary to support shared care between primary and specialty care. Introduction: There is no consensus on the optimal components of specialist-to-PCP communication after a face-to-face patient encounter or in the context of the emerging field of electronic consultations (eConsult). In this study, we aimed at synthesizing the evidence on key components of a traditional consultation letter and at determining whether they can be applied to eConsult replies.","container-title":"Telemedicine and e-Health","DOI":"10.1089/tmj.2019.0161","ISSN":"1530-5627, 1556-3669","journalAbbreviation":"Telemedicine and e-Health","language":"en","page":"tmj.2019.0161","source":"DOI.org (Crossref)","title":"Key Components of Traditional Consultation Letters and Their Relevance to Electronic Consultation Replies: A Systematic Review","title-short":"Key Components of Traditional Consultation Letters and Their Relevance to Electronic Consultation Replies","author":[{"family":"Russell","given":"Christopher"},{"family":"Sandu","given":"Victor"},{"family":"Moroz","given":"Isabella"},{"family":"Tran","given":"Christopher"},{"family":"Keely","given":"Erin"},{"family":"Liddy","given":"Clare"}],"issued":{"date-parts":[["2019",10,9]]}}}],"schema":"https://github.com/citation-style-language/schema/raw/master/csl-citation.json"} </w:instrText>
      </w:r>
      <w:r w:rsidR="000F63A0">
        <w:fldChar w:fldCharType="separate"/>
      </w:r>
      <w:r w:rsidR="001328F1" w:rsidRPr="001328F1">
        <w:rPr>
          <w:rFonts w:ascii="Calibri" w:hAnsi="Calibri" w:cs="Calibri"/>
        </w:rPr>
        <w:t>(4,6,7)</w:t>
      </w:r>
      <w:r w:rsidR="000F63A0">
        <w:fldChar w:fldCharType="end"/>
      </w:r>
      <w:r w:rsidR="000F63A0">
        <w:t>. From a safety perspective, Hannawa’s research outline</w:t>
      </w:r>
      <w:r w:rsidR="00243A45">
        <w:t>s</w:t>
      </w:r>
      <w:r w:rsidR="000F63A0">
        <w:t xml:space="preserve"> five core communication competencies – s</w:t>
      </w:r>
      <w:r w:rsidR="000F63A0" w:rsidRPr="001720FC">
        <w:t xml:space="preserve">ufficiency, </w:t>
      </w:r>
      <w:r w:rsidR="000F63A0">
        <w:t>a</w:t>
      </w:r>
      <w:r w:rsidR="000F63A0" w:rsidRPr="001720FC">
        <w:t xml:space="preserve">ccuracy, </w:t>
      </w:r>
      <w:r w:rsidR="000F63A0">
        <w:t>c</w:t>
      </w:r>
      <w:r w:rsidR="000F63A0" w:rsidRPr="001720FC">
        <w:t xml:space="preserve">larity, </w:t>
      </w:r>
      <w:r w:rsidR="000F63A0">
        <w:t>c</w:t>
      </w:r>
      <w:r w:rsidR="000F63A0" w:rsidRPr="001720FC">
        <w:t xml:space="preserve">ontextualization, </w:t>
      </w:r>
      <w:r w:rsidR="00E30A72">
        <w:t xml:space="preserve">and </w:t>
      </w:r>
      <w:r w:rsidR="000F63A0">
        <w:t>i</w:t>
      </w:r>
      <w:r w:rsidR="000F63A0" w:rsidRPr="001720FC">
        <w:t xml:space="preserve">nterpersonal </w:t>
      </w:r>
      <w:r w:rsidR="000F63A0">
        <w:t>a</w:t>
      </w:r>
      <w:r w:rsidR="000F63A0" w:rsidRPr="001720FC">
        <w:t>daptation</w:t>
      </w:r>
      <w:r w:rsidR="000F63A0">
        <w:t xml:space="preserve"> – as essential for high-quality patient care</w:t>
      </w:r>
      <w:r w:rsidR="000F63A0">
        <w:fldChar w:fldCharType="begin"/>
      </w:r>
      <w:r w:rsidR="001328F1">
        <w:instrText xml:space="preserve"> ADDIN ZOTERO_ITEM CSL_CITATION {"citationID":"D5ubfKlJ","properties":{"formattedCitation":"(8)","plainCitation":"(8)","noteIndex":0},"citationItems":[{"id":191,"uris":["http://zotero.org/groups/2501078/items/EQR6PDUW"],"uri":["http://zotero.org/groups/2501078/items/EQR6PDUW"],"itemData":{"id":191,"type":"article-journal","container-title":"Journal of Patient Safety and Risk Management","DOI":"10.1177/2516043518774445","ISSN":"2516-0435","issue":"3","journalAbbreviation":"Journal of Patient Safety and Risk Management","language":"en","note":"publisher: SAGE Publications","page":"99-107","source":"SAGE Journals","title":"“SACCIA Safe Communication”: Five core competencies for safe and high-quality care","title-short":"“SACCIA Safe Communication”","volume":"23","author":[{"family":"Hannawa","given":"Annegret F"}],"issued":{"date-parts":[["2018",6,1]]}}}],"schema":"https://github.com/citation-style-language/schema/raw/master/csl-citation.json"} </w:instrText>
      </w:r>
      <w:r w:rsidR="000F63A0">
        <w:fldChar w:fldCharType="separate"/>
      </w:r>
      <w:r w:rsidR="001328F1" w:rsidRPr="001328F1">
        <w:rPr>
          <w:rFonts w:ascii="Calibri" w:hAnsi="Calibri" w:cs="Calibri"/>
        </w:rPr>
        <w:t>(8)</w:t>
      </w:r>
      <w:r w:rsidR="000F63A0">
        <w:fldChar w:fldCharType="end"/>
      </w:r>
      <w:r w:rsidR="000F63A0">
        <w:t xml:space="preserve">. </w:t>
      </w:r>
      <w:r w:rsidR="00243A45">
        <w:t>In addition to cognitive overload, psychologists have shown that we overestimate our reading speed. In particular, non-fiction writing, extremes-of-age, and English-as-a-second-language may reduce reading speed</w:t>
      </w:r>
      <w:r w:rsidR="00243A45">
        <w:fldChar w:fldCharType="begin"/>
      </w:r>
      <w:r w:rsidR="001328F1">
        <w:instrText xml:space="preserve"> ADDIN ZOTERO_ITEM CSL_CITATION {"citationID":"wXO90Ptg","properties":{"formattedCitation":"(9)","plainCitation":"(9)","noteIndex":0},"citationItems":[{"id":185,"uris":["http://zotero.org/groups/2501078/items/E8LZIQSI"],"uri":["http://zotero.org/groups/2501078/items/E8LZIQSI"],"itemData":{"id":185,"type":"article-journal","abstract":"Based on the analysis of 190 studies (18,573 participants), we estimate that the average silent reading rate for adults in English is 238 words per minute (wpm) for non-fiction and 260 wpm for fiction. The difference can be predicted by taking into account the length of the words, with longer words in non-fiction than in fiction. The estimates are lower than the numbers often cited in scientific and popular writings. The reasons for the overestimates are reviewed. The average oral reading rate (based on 77 studies and 5965 participants) is 183 wpm. Reading rates are lower for children, old adults, and readers with English as second language. The reading rates are in line with maximum listening speed and do not require the assumption of reading-specific language processing. Within each group/task there are reliable individual differences, which are not yet fully understood. For silent reading of English non-fiction most adults fall in the range of 175–300 wpm; for fiction the range is 200–320 wpm. Reading rates in other languages can be predicted reasonably well by taking into account the number of words these languages require to convey the same message as in English.","container-title":"Journal of Memory and Language","DOI":"10.1016/j.jml.2019.104047","ISSN":"0749-596X","journalAbbreviation":"Journal of Memory and Language","language":"en","page":"104047","source":"ScienceDirect","title":"How many words do we read per minute? A review and meta-analysis of reading rate","title-short":"How many words do we read per minute?","volume":"109","author":[{"family":"Brysbaert","given":"Marc"}],"issued":{"date-parts":[["2019",12,1]]}}}],"schema":"https://github.com/citation-style-language/schema/raw/master/csl-citation.json"} </w:instrText>
      </w:r>
      <w:r w:rsidR="00243A45">
        <w:fldChar w:fldCharType="separate"/>
      </w:r>
      <w:r w:rsidR="001328F1" w:rsidRPr="001328F1">
        <w:rPr>
          <w:rFonts w:ascii="Calibri" w:hAnsi="Calibri" w:cs="Calibri"/>
        </w:rPr>
        <w:t>(9)</w:t>
      </w:r>
      <w:r w:rsidR="00243A45">
        <w:fldChar w:fldCharType="end"/>
      </w:r>
      <w:r w:rsidR="00243A45">
        <w:t xml:space="preserve"> and adversely impact comprehension. We therefore </w:t>
      </w:r>
      <w:r w:rsidR="0054175F">
        <w:t xml:space="preserve">advocate for a “less-is-more approach” and encourage </w:t>
      </w:r>
      <w:r w:rsidR="00CF52FF">
        <w:t xml:space="preserve">spending </w:t>
      </w:r>
      <w:r w:rsidR="00243A45">
        <w:t xml:space="preserve">the </w:t>
      </w:r>
      <w:r w:rsidR="00CF52FF">
        <w:t xml:space="preserve">time </w:t>
      </w:r>
      <w:r w:rsidR="00243A45">
        <w:t>to write shorter letters</w:t>
      </w:r>
      <w:r w:rsidR="0054175F">
        <w:t>.</w:t>
      </w:r>
      <w:r w:rsidR="00243A45">
        <w:t xml:space="preserve"> </w:t>
      </w:r>
      <w:r w:rsidR="00451B48" w:rsidRPr="00451B48">
        <w:t xml:space="preserve">In our opinion, </w:t>
      </w:r>
      <w:r w:rsidR="00451B48">
        <w:t>r</w:t>
      </w:r>
      <w:r w:rsidR="00451B48" w:rsidRPr="00451B48">
        <w:t xml:space="preserve">eading </w:t>
      </w:r>
      <w:r w:rsidR="00DC360F">
        <w:t>a</w:t>
      </w:r>
      <w:r w:rsidR="00451B48" w:rsidRPr="00451B48">
        <w:t xml:space="preserve"> </w:t>
      </w:r>
      <w:r w:rsidR="00052700">
        <w:t>doctor</w:t>
      </w:r>
      <w:r w:rsidR="00CF52FF">
        <w:t>’</w:t>
      </w:r>
      <w:r w:rsidR="00052700">
        <w:t>s letter</w:t>
      </w:r>
      <w:r w:rsidR="00451B48" w:rsidRPr="00451B48">
        <w:t xml:space="preserve"> should</w:t>
      </w:r>
      <w:r w:rsidR="00DC360F">
        <w:t xml:space="preserve"> not take more than</w:t>
      </w:r>
      <w:r w:rsidR="00451B48" w:rsidRPr="00451B48">
        <w:t xml:space="preserve"> </w:t>
      </w:r>
      <w:r w:rsidR="00DC360F">
        <w:t>three minutes</w:t>
      </w:r>
      <w:r w:rsidR="00FD3178">
        <w:t xml:space="preserve"> (20% of a </w:t>
      </w:r>
      <w:r w:rsidR="007F1323">
        <w:t>15-minute</w:t>
      </w:r>
      <w:r w:rsidR="00FD3178">
        <w:t xml:space="preserve"> consultation)</w:t>
      </w:r>
      <w:r w:rsidR="0054175F">
        <w:t>.</w:t>
      </w:r>
      <w:r w:rsidR="00DC360F">
        <w:t xml:space="preserve"> </w:t>
      </w:r>
      <w:r w:rsidR="0026060F">
        <w:t>This is</w:t>
      </w:r>
      <w:r w:rsidR="00F53B53">
        <w:t xml:space="preserve"> </w:t>
      </w:r>
      <w:r w:rsidR="00AA2B97">
        <w:t>consistent with Rash, et al</w:t>
      </w:r>
      <w:r w:rsidR="005F35CE">
        <w:t>.</w:t>
      </w:r>
      <w:r w:rsidR="00AA2B97">
        <w:t>’s conclusion</w:t>
      </w:r>
      <w:r w:rsidR="0023307B">
        <w:t xml:space="preserve"> </w:t>
      </w:r>
      <w:r w:rsidR="00C241C4">
        <w:t>that</w:t>
      </w:r>
      <w:r w:rsidR="0023307B">
        <w:t xml:space="preserve"> </w:t>
      </w:r>
      <w:r w:rsidR="00C241C4">
        <w:t>the letter should be no longer than 350 words</w:t>
      </w:r>
      <w:r w:rsidR="00F53B53">
        <w:t xml:space="preserve"> or</w:t>
      </w:r>
      <w:r w:rsidR="00C241C4">
        <w:t xml:space="preserve"> two pages</w:t>
      </w:r>
      <w:r w:rsidR="00C241C4">
        <w:fldChar w:fldCharType="begin"/>
      </w:r>
      <w:r w:rsidR="001328F1">
        <w:instrText xml:space="preserve"> ADDIN ZOTERO_ITEM CSL_CITATION {"citationID":"od5p01w7","properties":{"formattedCitation":"(4)","plainCitation":"(4)","noteIndex":0},"citationItems":[{"id":183,"uris":["http://zotero.org/groups/2501078/items/2CMMKMQQ"],"uri":["http://zotero.org/groups/2501078/items/2CMMKMQQ"],"itemData":{"id":183,"type":"article-journal","abstract":"Effective communication between the consultants and physicians form an integral foundation of effective and expert patient care. A broad review of the literature has not been undertaken to determine the components of a consultant’s letter of most value to the referring physician. We aimed to identify the components of a consultant’s letter preferred by referring physicians.","container-title":"Journal of General Internal Medicine","DOI":"10.1007/s11606-018-4356-3","ISSN":"1525-1497","issue":"6","journalAbbreviation":"J GEN INTERN MED","language":"en","page":"948-954","source":"Springer Link","title":"Valued Components of a Consultant Letter from Referring Physicians’ Perspective: a Systematic Literature Synthesis","title-short":"Valued Components of a Consultant Letter from Referring Physicians’ Perspective","volume":"33","author":[{"family":"Rash","given":"Arjun H."},{"family":"Sheldon","given":"Robert"},{"family":"Donald","given":"Maoliosa"},{"family":"Eronmwon","given":"Cindy"},{"family":"Kuriachan","given":"Vikas P."}],"issued":{"date-parts":[["2018",6,1]]}}}],"schema":"https://github.com/citation-style-language/schema/raw/master/csl-citation.json"} </w:instrText>
      </w:r>
      <w:r w:rsidR="00C241C4">
        <w:fldChar w:fldCharType="separate"/>
      </w:r>
      <w:r w:rsidR="001328F1" w:rsidRPr="001328F1">
        <w:rPr>
          <w:rFonts w:ascii="Calibri" w:hAnsi="Calibri" w:cs="Calibri"/>
        </w:rPr>
        <w:t>(4)</w:t>
      </w:r>
      <w:r w:rsidR="00C241C4">
        <w:fldChar w:fldCharType="end"/>
      </w:r>
      <w:r w:rsidR="00C241C4">
        <w:t>.</w:t>
      </w:r>
      <w:r w:rsidR="003D4F89">
        <w:t xml:space="preserve"> Effective letters control the </w:t>
      </w:r>
      <w:r w:rsidR="0096013F">
        <w:t>flow</w:t>
      </w:r>
      <w:r w:rsidR="003D4F89">
        <w:t xml:space="preserve">; ineffective ones are like </w:t>
      </w:r>
      <w:r w:rsidR="00E63D71">
        <w:t xml:space="preserve">tropical thunderstorms </w:t>
      </w:r>
      <w:r w:rsidR="003D4F89">
        <w:t xml:space="preserve">that </w:t>
      </w:r>
      <w:r w:rsidR="00E63D71">
        <w:t xml:space="preserve">flood </w:t>
      </w:r>
      <w:r w:rsidR="003D4F89">
        <w:t xml:space="preserve">the reader’s mind </w:t>
      </w:r>
      <w:r w:rsidR="000F5FE8">
        <w:t>with</w:t>
      </w:r>
      <w:r w:rsidR="003D4F89">
        <w:t xml:space="preserve"> </w:t>
      </w:r>
      <w:r w:rsidR="00F5073D">
        <w:t xml:space="preserve">unwanted and </w:t>
      </w:r>
      <w:r w:rsidR="003D4F89">
        <w:t>unnecessary information</w:t>
      </w:r>
      <w:r w:rsidR="00E63D71">
        <w:t>, and potentially break the dams of patient safety</w:t>
      </w:r>
      <w:r w:rsidR="003D4F89">
        <w:t>.</w:t>
      </w:r>
    </w:p>
    <w:p w14:paraId="56EA4EDC" w14:textId="77777777" w:rsidR="0060497B" w:rsidRDefault="0060497B" w:rsidP="0060497B">
      <w:pPr>
        <w:pStyle w:val="Heading2"/>
      </w:pPr>
      <w:r>
        <w:t>Timeliness</w:t>
      </w:r>
    </w:p>
    <w:p w14:paraId="331C391A" w14:textId="700494D3" w:rsidR="00CF52FF" w:rsidRDefault="003D4F89" w:rsidP="00CF52FF">
      <w:r>
        <w:t>Q</w:t>
      </w:r>
      <w:r w:rsidR="00CF52FF">
        <w:t xml:space="preserve">uality of the communication </w:t>
      </w:r>
      <w:r w:rsidR="000C1785">
        <w:t>also relates to the timeliness of the letter</w:t>
      </w:r>
      <w:r w:rsidR="001F1CC4">
        <w:t>’s</w:t>
      </w:r>
      <w:r w:rsidR="000C1785">
        <w:t xml:space="preserve"> </w:t>
      </w:r>
      <w:r w:rsidR="001F1CC4">
        <w:t>reception</w:t>
      </w:r>
      <w:r w:rsidR="00CF52FF">
        <w:fldChar w:fldCharType="begin"/>
      </w:r>
      <w:r w:rsidR="00EA0F7E">
        <w:instrText xml:space="preserve"> ADDIN ZOTERO_ITEM CSL_CITATION {"citationID":"Hg6ECkXY","properties":{"formattedCitation":"(2,6,10)","plainCitation":"(2,6,10)","noteIndex":0},"citationItems":[{"id":9138,"uris":["http://zotero.org/users/6495881/items/W4DPYCLP"],"uri":["http://zotero.org/users/6495881/items/W4DPYCLP"],"itemData":{"id":9138,"type":"webpage","title":"Communicating for Safety Standard","URL":"https://www.safetyandquality.gov.au/standards/nsqhs-standards/communicating-safety-standard","author":[{"literal":"Australian Commission on Safety and Quality in Health Care"}],"accessed":{"date-parts":[["2020",10,8]]}}},{"id":7300,"uris":["http://zotero.org/users/6495881/items/RWNZVVGI"],"uri":["http://zotero.org/users/6495881/items/RWNZVVGI"],"itemData":{"id":7300,"type":"article-journal","abstract":"Objectives Effective and efficient communication is crucial in healthcare. Written communication remains the most prevalent form of communication between specialised and primary care. We aimed at reviewing the literature on the quality of written communication, the impact of communication inefficiencies and recommendations to improve written communication in healthcare. Design Narrative literature review. Methods A search was carried out on the databases PubMed, Web of Science and The Cochrane Library by means of the (MeSH)terms ‘communication’, ‘primary health care’, ‘correspondence’, ‘patient safety’, ‘patient handoff’ and ‘continuity of patient care’. Reviewers screened 4609 records and 462 full texts were checked according following inclusion criteria: (1) publication between January 1985 and March 2014, (2) availability as full text in English, (3) categorisation as original research, reviews, meta-analyses or letters to the editor. Results A total of 69 articles were included in this review. It was found that poor communication can lead to various negative outcomes: discontinuity of care, compromise of patient safety, patient dissatisfaction and inefficient use of valuable resources, both in unnecessary investigations and physician worktime as well as economic consequences. Conclusion There is room for improvement of both content and timeliness of written communication. The delineation of ownership of the communication process should be clear. Peer review, process indicators and follow-up tools are required to measure the impact of quality improvement initiatives. Communication between caregivers should feature more prominently in graduate and postgraduate training, to become engraved as an essential skill and quality characteristic of each caregiver.","container-title":"International Journal of Clinical Practice","DOI":"10.1111/ijcp.12686","ISSN":"1742-1241","issue":"11","language":"en","page":"1257-1267","source":"Wiley Online Library","title":"Communication in healthcare: a narrative review of the literature and practical recommendations","title-short":"Communication in healthcare","volume":"69","author":[{"family":"Vermeir","given":"P."},{"family":"Vandijck","given":"D."},{"family":"Degroote","given":"S."},{"family":"Peleman","given":"R."},{"family":"Verhaeghe","given":"R."},{"family":"Mortier","given":"E."},{"family":"Hallaert","given":"G."},{"family":"Daele","given":"S. Van"},{"family":"Buylaert","given":"W."},{"family":"Vogelaers","given":"D."}],"issued":{"date-parts":[["2015"]]}}},{"id":8301,"uris":["http://zotero.org/groups/2501078/items/9JCSFAW7"],"uri":["http://zotero.org/groups/2501078/items/9JCSFAW7"],"itemData":{"id":8301,"type":"article-journal","container-title":"Medical Journal of Australia","DOI":"10.5694/j.1326-5377.2003.tb05121.x","ISSN":"1326-5377","issue":"3","language":"en","note":"_eprint: https://onlinelibrary.wiley.com/doi/pdf/10.5694/j.1326-5377.2003.tb05121.x","page":"144-144","source":"Wiley Online Library","title":"Improving doctors' letters","volume":"178","author":[{"family":"Rodger","given":"Alan"}],"issued":{"date-parts":[["2003"]]}}}],"schema":"https://github.com/citation-style-language/schema/raw/master/csl-citation.json"} </w:instrText>
      </w:r>
      <w:r w:rsidR="00CF52FF">
        <w:fldChar w:fldCharType="separate"/>
      </w:r>
      <w:r w:rsidR="00EA0F7E" w:rsidRPr="00EA0F7E">
        <w:rPr>
          <w:rFonts w:ascii="Calibri" w:hAnsi="Calibri" w:cs="Calibri"/>
        </w:rPr>
        <w:t>(2,6,10)</w:t>
      </w:r>
      <w:r w:rsidR="00CF52FF">
        <w:fldChar w:fldCharType="end"/>
      </w:r>
      <w:r w:rsidR="000C1785">
        <w:t xml:space="preserve">. </w:t>
      </w:r>
      <w:r w:rsidR="001F1CC4">
        <w:t>A high-quality letter is readable in a short amount of time</w:t>
      </w:r>
      <w:r>
        <w:t xml:space="preserve"> </w:t>
      </w:r>
      <w:r w:rsidRPr="00C200F7">
        <w:rPr>
          <w:b/>
          <w:bCs/>
          <w:i/>
          <w:iCs/>
        </w:rPr>
        <w:t>and</w:t>
      </w:r>
      <w:r>
        <w:t xml:space="preserve"> arrives in time</w:t>
      </w:r>
      <w:r w:rsidR="001F1CC4">
        <w:t xml:space="preserve">. </w:t>
      </w:r>
      <w:r>
        <w:t xml:space="preserve">Some factors affecting the arrival time </w:t>
      </w:r>
      <w:r w:rsidR="00C200F7">
        <w:t>are beyond our control</w:t>
      </w:r>
      <w:r w:rsidR="00651796">
        <w:t xml:space="preserve"> (</w:t>
      </w:r>
      <w:r w:rsidR="00C200F7">
        <w:t>e.g. Australia Post</w:t>
      </w:r>
      <w:r w:rsidR="001F1CC4">
        <w:t>, efficiency and skill of the typist</w:t>
      </w:r>
      <w:r w:rsidR="008F462A">
        <w:t>,</w:t>
      </w:r>
      <w:r w:rsidR="001F1CC4">
        <w:t xml:space="preserve"> and </w:t>
      </w:r>
      <w:r w:rsidR="00C200F7">
        <w:t xml:space="preserve">fears around privacy </w:t>
      </w:r>
      <w:r w:rsidR="00F5073D">
        <w:t>that</w:t>
      </w:r>
      <w:r w:rsidR="00C200F7">
        <w:t xml:space="preserve"> keep the fax machine industry afloat</w:t>
      </w:r>
      <w:r w:rsidR="00892D05">
        <w:t xml:space="preserve"> by </w:t>
      </w:r>
      <w:r w:rsidR="00892D05">
        <w:t>preclud</w:t>
      </w:r>
      <w:r w:rsidR="00892D05">
        <w:t xml:space="preserve">ing </w:t>
      </w:r>
      <w:r w:rsidR="00892D05">
        <w:t>emails</w:t>
      </w:r>
      <w:r w:rsidR="00651796">
        <w:t>)</w:t>
      </w:r>
      <w:r w:rsidR="00C200F7">
        <w:t>, but some are</w:t>
      </w:r>
      <w:r w:rsidR="00CF52FF">
        <w:t xml:space="preserve">. </w:t>
      </w:r>
      <w:r w:rsidR="00651796">
        <w:t>Imagine that your letter is the water your colleague needs while they’re wandering the desert of community practice – then do what you can to ensure that the water gets to them as quickly as possible.</w:t>
      </w:r>
    </w:p>
    <w:p w14:paraId="7B4D6DDC" w14:textId="1809248F" w:rsidR="00184AF1" w:rsidRDefault="00FB11C6" w:rsidP="0060497B">
      <w:pPr>
        <w:pStyle w:val="Heading2"/>
      </w:pPr>
      <w:r>
        <w:lastRenderedPageBreak/>
        <w:t>Templates</w:t>
      </w:r>
    </w:p>
    <w:p w14:paraId="78532CC7" w14:textId="6A4F8580" w:rsidR="00435F1C" w:rsidRDefault="00435F1C" w:rsidP="00EE2D20">
      <w:r>
        <w:t xml:space="preserve">Many </w:t>
      </w:r>
      <w:r w:rsidR="00E442ED">
        <w:t xml:space="preserve">authors have called for the use of </w:t>
      </w:r>
      <w:r w:rsidR="00FF369F">
        <w:t xml:space="preserve">standardised </w:t>
      </w:r>
      <w:r w:rsidR="00E442ED">
        <w:t>templates</w:t>
      </w:r>
      <w:r w:rsidR="00FF369F">
        <w:fldChar w:fldCharType="begin"/>
      </w:r>
      <w:r w:rsidR="001328F1">
        <w:instrText xml:space="preserve"> ADDIN ZOTERO_ITEM CSL_CITATION {"citationID":"cqpAPFPZ","properties":{"formattedCitation":"(3,4,7)","plainCitation":"(3,4,7)","noteIndex":0},"citationItems":[{"id":182,"uris":["http://zotero.org/groups/2501078/items/Z95LRXFX"],"uri":["http://zotero.org/groups/2501078/items/Z95LRXFX"],"itemData":{"id":182,"type":"article-journal","abstract":"Information contained in letters of referral and reply often does not meet the information needs of letter recipients. </w:instrText>
      </w:r>
      <w:r w:rsidR="001328F1">
        <w:rPr>
          <w:rFonts w:ascii="Arial" w:hAnsi="Arial" w:cs="Arial"/>
        </w:rPr>
        <w:instrText>■</w:instrText>
      </w:r>
      <w:r w:rsidR="001328F1">
        <w:instrText xml:space="preserve"> Missing reports of previous investigations and insufficient detail in the referral letter to specialists are the most serious and common problems. </w:instrText>
      </w:r>
      <w:r w:rsidR="001328F1">
        <w:rPr>
          <w:rFonts w:ascii="Arial" w:hAnsi="Arial" w:cs="Arial"/>
        </w:rPr>
        <w:instrText>■</w:instrText>
      </w:r>
      <w:r w:rsidR="001328F1">
        <w:instrText xml:space="preserve"> General practitioners prefer structured, computergenerated letters to unstructured, dictated letters. </w:instrText>
      </w:r>
      <w:r w:rsidR="001328F1">
        <w:rPr>
          <w:rFonts w:ascii="Arial" w:hAnsi="Arial" w:cs="Arial"/>
        </w:rPr>
        <w:instrText>■</w:instrText>
      </w:r>
      <w:r w:rsidR="001328F1">
        <w:instrText xml:space="preserve"> Referring surgeons and GPs identify delay in receiving the reply letter and insufficient detail as relatively common problems after a new patient consultation. They want the reply letter to describe the proposed treatment, expected outcomes and any psychosocial concerns, yet these items are often omitted.","container-title":"Medical Journal of Australia","language":"en","page":"5","source":"Zotero","title":"Improving doctors’ letters","volume":"177","author":[{"family":"Tattersall","given":"Martin H N"},{"family":"Butow","given":"Phyllis N"},{"family":"Brown","given":"Judith E"},{"family":"Thompson","given":"John F"}],"issued":{"date-parts":[["2002"]]}}},{"id":183,"uris":["http://zotero.org/groups/2501078/items/2CMMKMQQ"],"uri":["http://zotero.org/groups/2501078/items/2CMMKMQQ"],"itemData":{"id":183,"type":"article-journal","abstract":"Effective communication between the consultants and physicians form an integral foundation of effective and expert patient care. A broad review of the literature has not been undertaken to determine the components of a consultant’s letter of most value to the referring physician. We aimed to identify the components of a consultant’s letter preferred by referring physicians.","container-title":"Journal of General Internal Medicine","DOI":"10.1007/s11606-018-4356-3","ISSN":"1525-1497","issue":"6","journalAbbreviation":"J GEN INTERN MED","language":"en","page":"948-954","source":"Springer Link","title":"Valued Components of a Consultant Letter from Referring Physicians’ Perspective: a Systematic Literature Synthesis","title-short":"Valued Components of a Consultant Letter from Referring Physicians’ Perspective","volume":"33","author":[{"family":"Rash","given":"Arjun H."},{"family":"Sheldon","given":"Robert"},{"family":"Donald","given":"Maoliosa"},{"family":"Eronmwon","given":"Cindy"},{"family":"Kuriachan","given":"Vikas P."}],"issued":{"date-parts":[["2018",6,1]]}}},{"id":180,"uris":["http://zotero.org/groups/2501078/items/ENFVLYD3"],"uri":["http://zotero.org/groups/2501078/items/ENFVLYD3"],"itemData":{"id":180,"type":"article-journal","abstract":"Background: Effective communication between primary care providers (PCPs) and specialists plays a key role in providing high-quality patient care. A high-quality referral process should involve referral letters containing all information that is necessary to support shared care between primary and specialty care. Introduction: There is no consensus on the optimal components of specialist-to-PCP communication after a face-to-face patient encounter or in the context of the emerging field of electronic consultations (eConsult). In this study, we aimed at synthesizing the evidence on key components of a traditional consultation letter and at determining whether they can be applied to eConsult replies.","container-title":"Telemedicine and e-Health","DOI":"10.1089/tmj.2019.0161","ISSN":"1530-5627, 1556-3669","journalAbbreviation":"Telemedicine and e-Health","language":"en","page":"tmj.2019.0161","source":"DOI.org (Crossref)","title":"Key Components of Traditional Consultation Letters and Their Relevance to Electronic Consultation Replies: A Systematic Review","title-short":"Key Components of Traditional Consultation Letters and Their Relevance to Electronic Consultation Replies","author":[{"family":"Russell","given":"Christopher"},{"family":"Sandu","given":"Victor"},{"family":"Moroz","given":"Isabella"},{"family":"Tran","given":"Christopher"},{"family":"Keely","given":"Erin"},{"family":"Liddy","given":"Clare"}],"issued":{"date-parts":[["2019",10,9]]}}}],"schema":"https://github.com/citation-style-language/schema/raw/master/csl-citation.json"} </w:instrText>
      </w:r>
      <w:r w:rsidR="00FF369F">
        <w:fldChar w:fldCharType="separate"/>
      </w:r>
      <w:r w:rsidR="001328F1" w:rsidRPr="001328F1">
        <w:rPr>
          <w:rFonts w:ascii="Calibri" w:hAnsi="Calibri" w:cs="Calibri"/>
        </w:rPr>
        <w:t>(3,4,7)</w:t>
      </w:r>
      <w:r w:rsidR="00FF369F">
        <w:fldChar w:fldCharType="end"/>
      </w:r>
      <w:r w:rsidR="00E442ED">
        <w:t xml:space="preserve">, </w:t>
      </w:r>
      <w:r w:rsidR="00EE2D20">
        <w:t xml:space="preserve">as have some colleges </w:t>
      </w:r>
      <w:r w:rsidR="000B0A88">
        <w:t xml:space="preserve">in Australia </w:t>
      </w:r>
      <w:r w:rsidR="00EE2D20">
        <w:t>through association with Medicare item numbers</w:t>
      </w:r>
      <w:r w:rsidR="00EE2D20">
        <w:fldChar w:fldCharType="begin"/>
      </w:r>
      <w:r w:rsidR="001328F1">
        <w:instrText xml:space="preserve"> ADDIN ZOTERO_ITEM CSL_CITATION {"citationID":"IRLsAhEI","properties":{"formattedCitation":"(11,12)","plainCitation":"(11,12)","noteIndex":0},"citationItems":[{"id":194,"uris":["http://zotero.org/groups/2501078/items/QPY5D6YR"],"uri":["http://zotero.org/groups/2501078/items/QPY5D6YR"],"itemData":{"id":194,"type":"webpage","title":"Item 143 | Medicare Benefits Schedule","URL":"http://www9.health.gov.au/mbs/fullDisplay.cfm?type=item&amp;q=143&amp;qt=item&amp;criteria=143","author":[{"family":"Medicare Australia","given":""}],"accessed":{"date-parts":[["2020",5,12]]},"issued":{"date-parts":[["2019",11,1]]}}},{"id":234,"uris":["http://zotero.org/groups/2501078/items/ECGW2AMM"],"uri":["http://zotero.org/groups/2501078/items/ECGW2AMM"],"itemData":{"id":234,"type":"webpage","title":"The Royal Australian and New Zealand College of Psychiatrists (RANZCP) Referred Patient Assessment and Management Plan Guidelines","URL":"https://www.ranzcp.org/files/resources/college_statements/practice_guidelines/referred_patient_assessment_and_management_guideli.aspx","author":[{"family":"The Royal Australian and New Zealand College of Psychiatrists","given":""}],"accessed":{"date-parts":[["2020",5,19]]},"issued":{"date-parts":[["2009",5,13]]}}}],"schema":"https://github.com/citation-style-language/schema/raw/master/csl-citation.json"} </w:instrText>
      </w:r>
      <w:r w:rsidR="00EE2D20">
        <w:fldChar w:fldCharType="separate"/>
      </w:r>
      <w:r w:rsidR="001328F1" w:rsidRPr="001328F1">
        <w:rPr>
          <w:rFonts w:ascii="Calibri" w:hAnsi="Calibri" w:cs="Calibri"/>
        </w:rPr>
        <w:t>(11,12)</w:t>
      </w:r>
      <w:r w:rsidR="00EE2D20">
        <w:fldChar w:fldCharType="end"/>
      </w:r>
      <w:r w:rsidR="004B425A">
        <w:t xml:space="preserve">. </w:t>
      </w:r>
      <w:r w:rsidR="00B55B96">
        <w:t>Based on (i) our experience (as a specialist pain medicine physician [AYH] and general practitioner [FTA]); (ii) our reading of the evidence</w:t>
      </w:r>
      <w:r w:rsidR="00B55B96">
        <w:fldChar w:fldCharType="begin"/>
      </w:r>
      <w:r w:rsidR="001328F1">
        <w:instrText xml:space="preserve"> ADDIN ZOTERO_ITEM CSL_CITATION {"citationID":"FLnohc12","properties":{"formattedCitation":"(4)","plainCitation":"(4)","noteIndex":0},"citationItems":[{"id":183,"uris":["http://zotero.org/groups/2501078/items/2CMMKMQQ"],"uri":["http://zotero.org/groups/2501078/items/2CMMKMQQ"],"itemData":{"id":183,"type":"article-journal","abstract":"Effective communication between the consultants and physicians form an integral foundation of effective and expert patient care. A broad review of the literature has not been undertaken to determine the components of a consultant’s letter of most value to the referring physician. We aimed to identify the components of a consultant’s letter preferred by referring physicians.","container-title":"Journal of General Internal Medicine","DOI":"10.1007/s11606-018-4356-3","ISSN":"1525-1497","issue":"6","journalAbbreviation":"J GEN INTERN MED","language":"en","page":"948-954","source":"Springer Link","title":"Valued Components of a Consultant Letter from Referring Physicians’ Perspective: a Systematic Literature Synthesis","title-short":"Valued Components of a Consultant Letter from Referring Physicians’ Perspective","volume":"33","author":[{"family":"Rash","given":"Arjun H."},{"family":"Sheldon","given":"Robert"},{"family":"Donald","given":"Maoliosa"},{"family":"Eronmwon","given":"Cindy"},{"family":"Kuriachan","given":"Vikas P."}],"issued":{"date-parts":[["2018",6,1]]}}}],"schema":"https://github.com/citation-style-language/schema/raw/master/csl-citation.json"} </w:instrText>
      </w:r>
      <w:r w:rsidR="00B55B96">
        <w:fldChar w:fldCharType="separate"/>
      </w:r>
      <w:r w:rsidR="001328F1" w:rsidRPr="001328F1">
        <w:rPr>
          <w:rFonts w:ascii="Calibri" w:hAnsi="Calibri" w:cs="Calibri"/>
        </w:rPr>
        <w:t>(4)</w:t>
      </w:r>
      <w:r w:rsidR="00B55B96">
        <w:fldChar w:fldCharType="end"/>
      </w:r>
      <w:r w:rsidR="00B55B96">
        <w:t>; (iii) existing guidelines</w:t>
      </w:r>
      <w:r w:rsidR="00B55B96">
        <w:fldChar w:fldCharType="begin"/>
      </w:r>
      <w:r w:rsidR="001328F1">
        <w:instrText xml:space="preserve"> ADDIN ZOTERO_ITEM CSL_CITATION {"citationID":"vZltDXW3","properties":{"formattedCitation":"(11,12)","plainCitation":"(11,12)","noteIndex":0},"citationItems":[{"id":194,"uris":["http://zotero.org/groups/2501078/items/QPY5D6YR"],"uri":["http://zotero.org/groups/2501078/items/QPY5D6YR"],"itemData":{"id":194,"type":"webpage","title":"Item 143 | Medicare Benefits Schedule","URL":"http://www9.health.gov.au/mbs/fullDisplay.cfm?type=item&amp;q=143&amp;qt=item&amp;criteria=143","author":[{"family":"Medicare Australia","given":""}],"accessed":{"date-parts":[["2020",5,12]]},"issued":{"date-parts":[["2019",11,1]]}}},{"id":234,"uris":["http://zotero.org/groups/2501078/items/ECGW2AMM"],"uri":["http://zotero.org/groups/2501078/items/ECGW2AMM"],"itemData":{"id":234,"type":"webpage","title":"The Royal Australian and New Zealand College of Psychiatrists (RANZCP) Referred Patient Assessment and Management Plan Guidelines","URL":"https://www.ranzcp.org/files/resources/college_statements/practice_guidelines/referred_patient_assessment_and_management_guideli.aspx","author":[{"family":"The Royal Australian and New Zealand College of Psychiatrists","given":""}],"accessed":{"date-parts":[["2020",5,19]]},"issued":{"date-parts":[["2009",5,13]]}}}],"schema":"https://github.com/citation-style-language/schema/raw/master/csl-citation.json"} </w:instrText>
      </w:r>
      <w:r w:rsidR="00B55B96">
        <w:fldChar w:fldCharType="separate"/>
      </w:r>
      <w:r w:rsidR="001328F1" w:rsidRPr="001328F1">
        <w:rPr>
          <w:rFonts w:ascii="Calibri" w:hAnsi="Calibri" w:cs="Calibri"/>
        </w:rPr>
        <w:t>(11,12)</w:t>
      </w:r>
      <w:r w:rsidR="00B55B96">
        <w:fldChar w:fldCharType="end"/>
      </w:r>
      <w:r w:rsidR="00B55B96">
        <w:t xml:space="preserve">; </w:t>
      </w:r>
      <w:r w:rsidR="00926255">
        <w:t>(iv) safe communication principles</w:t>
      </w:r>
      <w:r w:rsidR="00926255">
        <w:fldChar w:fldCharType="begin"/>
      </w:r>
      <w:r w:rsidR="001328F1">
        <w:instrText xml:space="preserve"> ADDIN ZOTERO_ITEM CSL_CITATION {"citationID":"qntOhUt1","properties":{"formattedCitation":"(8)","plainCitation":"(8)","noteIndex":0},"citationItems":[{"id":191,"uris":["http://zotero.org/groups/2501078/items/EQR6PDUW"],"uri":["http://zotero.org/groups/2501078/items/EQR6PDUW"],"itemData":{"id":191,"type":"article-journal","container-title":"Journal of Patient Safety and Risk Management","DOI":"10.1177/2516043518774445","ISSN":"2516-0435","issue":"3","journalAbbreviation":"Journal of Patient Safety and Risk Management","language":"en","note":"publisher: SAGE Publications","page":"99-107","source":"SAGE Journals","title":"“SACCIA Safe Communication”: Five core competencies for safe and high-quality care","title-short":"“SACCIA Safe Communication”","volume":"23","author":[{"family":"Hannawa","given":"Annegret F"}],"issued":{"date-parts":[["2018",6,1]]}}}],"schema":"https://github.com/citation-style-language/schema/raw/master/csl-citation.json"} </w:instrText>
      </w:r>
      <w:r w:rsidR="00926255">
        <w:fldChar w:fldCharType="separate"/>
      </w:r>
      <w:r w:rsidR="001328F1" w:rsidRPr="001328F1">
        <w:rPr>
          <w:rFonts w:ascii="Calibri" w:hAnsi="Calibri" w:cs="Calibri"/>
        </w:rPr>
        <w:t>(8)</w:t>
      </w:r>
      <w:r w:rsidR="00926255">
        <w:fldChar w:fldCharType="end"/>
      </w:r>
      <w:r w:rsidR="00926255">
        <w:t xml:space="preserve">; </w:t>
      </w:r>
      <w:r w:rsidR="00B55B96">
        <w:t>and (v) Engel’s biopsychosocial model</w:t>
      </w:r>
      <w:r w:rsidR="00B55B96">
        <w:fldChar w:fldCharType="begin"/>
      </w:r>
      <w:r w:rsidR="001328F1">
        <w:instrText xml:space="preserve"> ADDIN ZOTERO_ITEM CSL_CITATION {"citationID":"qlHCt9zO","properties":{"formattedCitation":"(13)","plainCitation":"(13)","noteIndex":0},"citationItems":[{"id":239,"uris":["http://zotero.org/groups/2501078/items/T4WDGGKB"],"uri":["http://zotero.org/groups/2501078/items/T4WDGGKB"],"itemData":{"id":239,"type":"article-journal","abstract":"How physicians approach patients and the problems they present is much influenced by the conceptual models around which their knowledge is organized. In this paper the implications of the biopsychosocial model for the study and care of a patient with an acute myocardial infarction are presented and contrasted with approaches used by adherents of the more traditional biomedical model. A medical rather than psychiatric patient was selected to emphasize the unity of medicine and to help define the place of psychiatrists in the education of physicians of the future.","container-title":"American Journal of Psychiatry","DOI":"10.1176/ajp.137.5.535","ISSN":"0002-953X","issue":"5","journalAbbreviation":"AJP","note":"publisher: American Psychiatric Publishing","page":"535-544","source":"ajp-psychiatryonline-org-acs-hcn-com-au.journals.library.austin.org.au (Atypon)","title":"The clinical application of the biopsychosocial model","volume":"137","author":[{"family":"Engel","given":"George L."}],"issued":{"date-parts":[["1980",5,1]]}}}],"schema":"https://github.com/citation-style-language/schema/raw/master/csl-citation.json"} </w:instrText>
      </w:r>
      <w:r w:rsidR="00B55B96">
        <w:fldChar w:fldCharType="separate"/>
      </w:r>
      <w:r w:rsidR="001328F1" w:rsidRPr="001328F1">
        <w:rPr>
          <w:rFonts w:ascii="Calibri" w:hAnsi="Calibri" w:cs="Calibri"/>
        </w:rPr>
        <w:t>(13)</w:t>
      </w:r>
      <w:r w:rsidR="00B55B96">
        <w:fldChar w:fldCharType="end"/>
      </w:r>
      <w:r w:rsidR="00B55B96">
        <w:t xml:space="preserve"> we propose that</w:t>
      </w:r>
      <w:r>
        <w:t xml:space="preserve"> the </w:t>
      </w:r>
      <w:bookmarkStart w:id="0" w:name="_Hlk41225374"/>
      <w:r w:rsidR="00052700">
        <w:t>doctors’ letter</w:t>
      </w:r>
      <w:r>
        <w:t xml:space="preserve"> should be broadly structured into three sections</w:t>
      </w:r>
      <w:r w:rsidR="00CE73D6">
        <w:t xml:space="preserve"> (see </w:t>
      </w:r>
      <w:r w:rsidR="00826A2C">
        <w:t>Box</w:t>
      </w:r>
      <w:r w:rsidR="00CE73D6">
        <w:t>)</w:t>
      </w:r>
      <w:r w:rsidR="00651796">
        <w:t xml:space="preserve">. </w:t>
      </w:r>
      <w:r w:rsidR="00F5073D">
        <w:t>Templates</w:t>
      </w:r>
      <w:r w:rsidR="00651796">
        <w:t xml:space="preserve"> are the filtration and plumbing system that can help make the water </w:t>
      </w:r>
      <w:r w:rsidR="000F5FE8">
        <w:t>drinkable</w:t>
      </w:r>
      <w:r w:rsidR="00651796">
        <w:t>.</w:t>
      </w:r>
    </w:p>
    <w:bookmarkEnd w:id="0"/>
    <w:p w14:paraId="502DCADF" w14:textId="17ACE1C6" w:rsidR="0061546E" w:rsidRDefault="0061546E" w:rsidP="00AA2B97">
      <w:pPr>
        <w:pStyle w:val="Heading2"/>
      </w:pPr>
      <w:r>
        <w:t>The formulation</w:t>
      </w:r>
    </w:p>
    <w:p w14:paraId="21A64F71" w14:textId="0FF43181" w:rsidR="00B55B96" w:rsidRDefault="00B55B96" w:rsidP="00B55B96">
      <w:bookmarkStart w:id="1" w:name="_Hlk41225073"/>
      <w:r>
        <w:t xml:space="preserve">We believe that of the three sections outlined, the formulation requires the greatest skill and deserves the most attention because it is often non-existent or poorly executed. We therefore offer </w:t>
      </w:r>
      <w:r w:rsidR="001C0558">
        <w:t>a formulation</w:t>
      </w:r>
      <w:r>
        <w:t xml:space="preserve"> template </w:t>
      </w:r>
      <w:r w:rsidR="00CF52FF">
        <w:t xml:space="preserve">(utilising numbered lists summarising pertinent information and grouping information according to topic) </w:t>
      </w:r>
      <w:r>
        <w:t>to assist writers in synthesising a formulation.</w:t>
      </w:r>
      <w:r w:rsidR="00CF52FF">
        <w:t xml:space="preserve"> </w:t>
      </w:r>
    </w:p>
    <w:p w14:paraId="510BEE51" w14:textId="27963EE3" w:rsidR="00AA2B97" w:rsidRDefault="00E30A72" w:rsidP="00A55129">
      <w:r>
        <w:t>The role of the formulation is to synthesise and summarise why a patient presents to the clinic</w:t>
      </w:r>
      <w:r>
        <w:fldChar w:fldCharType="begin"/>
      </w:r>
      <w:r>
        <w:instrText xml:space="preserve"> ADDIN ZOTERO_ITEM CSL_CITATION {"citationID":"XLbTYUkv","properties":{"formattedCitation":"(14)","plainCitation":"(14)","noteIndex":0},"citationItems":[{"id":6940,"uris":["http://zotero.org/groups/2501078/items/33FTMPCH"],"uri":["http://zotero.org/groups/2501078/items/33FTMPCH"],"itemData":{"id":6940,"type":"chapter","abstract":"Consultation-liaison (CL) providers serve in a broad range of roles, from direct assessment to facilitation of communication between families and providers, and are tasked with assessing and appropriately managing the full range of psychiatric presentations on inpatient medical and surgical units. Developing a concise and precise narrative from which to understand the presenting concern and derive appropriate, individualized, evidence-based interventions, which will be conveyed in understandable terms to referring providers and families, is critical to being effective in CL practice. This chapter reviews the principles of biopsychosocial formulation with vignettes involving gastroenterology and endocrinology concerns that facilitate exploration of these concepts.","container-title":"Pediatric Consultation-Liaison Psychiatry : A Global, Healthcare Systems-Focused, and Problem-Based Approach","event-place":"Cham","ISBN":"978-3-319-89488-1","language":"en","note":"DOI: 10.1007/978-3-319-89488-1_10","page":"181-192","publisher":"Springer International Publishing","publisher-place":"Cham","source":"Springer Link","title":"Principles of Biopsychosocial Formulation and Interventions in the Pediatric Medical Setting","URL":"https://doi.org/10.1007/978-3-319-89488-1_10","author":[{"family":"Tsang","given":"Kevin K."},{"family":"Fernandes","given":"Serena A."},{"family":"Ibeziako","given":"Patricia"}],"editor":[{"family":"Guerrero","given":"Anthony P. S."},{"family":"Lee","given":"Paul C."},{"family":"Skokauskas","given":"Norbert"}],"accessed":{"date-parts":[["2020",6,12]]},"issued":{"date-parts":[["2018"]]}}}],"schema":"https://github.com/citation-style-language/schema/raw/master/csl-citation.json"} </w:instrText>
      </w:r>
      <w:r>
        <w:fldChar w:fldCharType="separate"/>
      </w:r>
      <w:r w:rsidRPr="001328F1">
        <w:rPr>
          <w:rFonts w:ascii="Calibri" w:hAnsi="Calibri" w:cs="Calibri"/>
        </w:rPr>
        <w:t>(14)</w:t>
      </w:r>
      <w:r>
        <w:fldChar w:fldCharType="end"/>
      </w:r>
      <w:r>
        <w:t xml:space="preserve">. </w:t>
      </w:r>
      <w:r w:rsidR="00D65B28">
        <w:t>T</w:t>
      </w:r>
      <w:r w:rsidR="003057FD">
        <w:t>he</w:t>
      </w:r>
      <w:r w:rsidR="0006746C">
        <w:t xml:space="preserve"> first issue in the formulation should </w:t>
      </w:r>
      <w:r w:rsidR="00B42102" w:rsidRPr="00B42102">
        <w:t xml:space="preserve">summarise the </w:t>
      </w:r>
      <w:bookmarkStart w:id="2" w:name="_Hlk53037227"/>
      <w:r w:rsidR="00B42102" w:rsidRPr="00B42102">
        <w:t>history</w:t>
      </w:r>
      <w:r w:rsidR="00574EA1">
        <w:t xml:space="preserve">, </w:t>
      </w:r>
      <w:r w:rsidR="00B42102" w:rsidRPr="00B42102">
        <w:t>examination</w:t>
      </w:r>
      <w:r w:rsidR="00574EA1">
        <w:t>, investigation</w:t>
      </w:r>
      <w:r w:rsidR="00236703">
        <w:t>s</w:t>
      </w:r>
      <w:r>
        <w:t>,</w:t>
      </w:r>
      <w:r w:rsidR="00B42102" w:rsidRPr="00B42102">
        <w:t xml:space="preserve"> </w:t>
      </w:r>
      <w:r w:rsidR="00574EA1">
        <w:t xml:space="preserve">and previous treatments </w:t>
      </w:r>
      <w:bookmarkEnd w:id="2"/>
      <w:r>
        <w:t xml:space="preserve">relating to the “presenting complaint” </w:t>
      </w:r>
      <w:r w:rsidR="00B42102" w:rsidRPr="00B42102">
        <w:t xml:space="preserve">in </w:t>
      </w:r>
      <w:r w:rsidR="00653FD7">
        <w:t xml:space="preserve">a maximum of </w:t>
      </w:r>
      <w:r w:rsidR="00B42102" w:rsidRPr="00653FD7">
        <w:rPr>
          <w:i/>
          <w:iCs/>
        </w:rPr>
        <w:t xml:space="preserve">three </w:t>
      </w:r>
      <w:r w:rsidR="00892D05">
        <w:rPr>
          <w:i/>
          <w:iCs/>
        </w:rPr>
        <w:t xml:space="preserve">to five </w:t>
      </w:r>
      <w:r w:rsidR="00B42102" w:rsidRPr="00653FD7">
        <w:rPr>
          <w:i/>
          <w:iCs/>
        </w:rPr>
        <w:t>sentences</w:t>
      </w:r>
      <w:r w:rsidR="00304DAA">
        <w:t xml:space="preserve">. In the </w:t>
      </w:r>
      <w:r w:rsidR="005503CB">
        <w:t xml:space="preserve">pain clinic, it </w:t>
      </w:r>
      <w:r w:rsidR="00EB672D">
        <w:t>should</w:t>
      </w:r>
      <w:r w:rsidR="005503CB">
        <w:t xml:space="preserve"> be the pain diagnosis; in endocrinology, it might be </w:t>
      </w:r>
      <w:r w:rsidR="00970F2A">
        <w:t xml:space="preserve">diabetes mellitus; in colorectal surgery it might be </w:t>
      </w:r>
      <w:r w:rsidR="00481AF7">
        <w:t xml:space="preserve">sigmoid </w:t>
      </w:r>
      <w:r w:rsidR="000D3441">
        <w:t>carcinoma</w:t>
      </w:r>
      <w:r w:rsidR="00481AF7">
        <w:t>.</w:t>
      </w:r>
      <w:r w:rsidR="00B55B96">
        <w:t xml:space="preserve"> A</w:t>
      </w:r>
      <w:r w:rsidR="00427880">
        <w:t xml:space="preserve"> summary of all other biomedical </w:t>
      </w:r>
      <w:r w:rsidR="00B42102">
        <w:t xml:space="preserve">comorbidities </w:t>
      </w:r>
      <w:r w:rsidR="00574EA1">
        <w:t xml:space="preserve">(including previous major surgery) </w:t>
      </w:r>
      <w:r w:rsidR="00B42102">
        <w:t xml:space="preserve">such as </w:t>
      </w:r>
      <w:r w:rsidR="003057FD">
        <w:t>hypertension, ischaemic heart disease, osteoporosis, etc</w:t>
      </w:r>
      <w:r w:rsidR="00B55B96">
        <w:t>. should then follow</w:t>
      </w:r>
      <w:r>
        <w:t xml:space="preserve"> </w:t>
      </w:r>
      <w:r w:rsidR="00B55B96">
        <w:t>for completeness</w:t>
      </w:r>
      <w:r w:rsidR="003057FD">
        <w:t>.</w:t>
      </w:r>
      <w:r w:rsidR="006845D6">
        <w:t xml:space="preserve"> </w:t>
      </w:r>
      <w:r w:rsidR="00F077BD">
        <w:t xml:space="preserve">This summary of medical conditions can help to paint a picture of how frail or complex the patient is. For example, a patient with a history of </w:t>
      </w:r>
      <w:r w:rsidR="00B55B96">
        <w:t xml:space="preserve">only </w:t>
      </w:r>
      <w:r w:rsidR="00F077BD">
        <w:t xml:space="preserve">hypertension is </w:t>
      </w:r>
      <w:r w:rsidR="00597866">
        <w:t xml:space="preserve">far </w:t>
      </w:r>
      <w:r w:rsidR="00F077BD">
        <w:t>less complex than the patient with congestive cardiac failure, chronic kidney disease and hypertension.</w:t>
      </w:r>
    </w:p>
    <w:p w14:paraId="0D6DF8F7" w14:textId="0A484C91" w:rsidR="00AA2B97" w:rsidRDefault="00E33450" w:rsidP="00A55129">
      <w:r>
        <w:t>Th</w:t>
      </w:r>
      <w:r w:rsidR="007B14D2">
        <w:t xml:space="preserve">e above constitutes </w:t>
      </w:r>
      <w:r>
        <w:t>the bare minimum</w:t>
      </w:r>
      <w:r w:rsidR="007B14D2">
        <w:t xml:space="preserve"> </w:t>
      </w:r>
      <w:r w:rsidR="00F077BD">
        <w:t>we</w:t>
      </w:r>
      <w:r w:rsidR="007B14D2">
        <w:t xml:space="preserve"> expect in a clinical letter</w:t>
      </w:r>
      <w:r>
        <w:t xml:space="preserve">, but </w:t>
      </w:r>
      <w:r w:rsidR="00D02AF0">
        <w:t xml:space="preserve">to meet the definition of a </w:t>
      </w:r>
      <w:r>
        <w:t>“</w:t>
      </w:r>
      <w:r w:rsidR="00D02AF0">
        <w:t>comprehensive synthesis</w:t>
      </w:r>
      <w:r>
        <w:t>”</w:t>
      </w:r>
      <w:r w:rsidR="00CA386D">
        <w:fldChar w:fldCharType="begin"/>
      </w:r>
      <w:r w:rsidR="001328F1">
        <w:instrText xml:space="preserve"> ADDIN ZOTERO_ITEM CSL_CITATION {"citationID":"Etr2BUM5","properties":{"formattedCitation":"(14)","plainCitation":"(14)","noteIndex":0},"citationItems":[{"id":6940,"uris":["http://zotero.org/groups/2501078/items/33FTMPCH"],"uri":["http://zotero.org/groups/2501078/items/33FTMPCH"],"itemData":{"id":6940,"type":"chapter","abstract":"Consultation-liaison (CL) providers serve in a broad range of roles, from direct assessment to facilitation of communication between families and providers, and are tasked with assessing and appropriately managing the full range of psychiatric presentations on inpatient medical and surgical units. Developing a concise and precise narrative from which to understand the presenting concern and derive appropriate, individualized, evidence-based interventions, which will be conveyed in understandable terms to referring providers and families, is critical to being effective in CL practice. This chapter reviews the principles of biopsychosocial formulation with vignettes involving gastroenterology and endocrinology concerns that facilitate exploration of these concepts.","container-title":"Pediatric Consultation-Liaison Psychiatry : A Global, Healthcare Systems-Focused, and Problem-Based Approach","event-place":"Cham","ISBN":"978-3-319-89488-1","language":"en","note":"DOI: 10.1007/978-3-319-89488-1_10","page":"181-192","publisher":"Springer International Publishing","publisher-place":"Cham","source":"Springer Link","title":"Principles of Biopsychosocial Formulation and Interventions in the Pediatric Medical Setting","URL":"https://doi.org/10.1007/978-3-319-89488-1_10","author":[{"family":"Tsang","given":"Kevin K."},{"family":"Fernandes","given":"Serena A."},{"family":"Ibeziako","given":"Patricia"}],"editor":[{"family":"Guerrero","given":"Anthony P. S."},{"family":"Lee","given":"Paul C."},{"family":"Skokauskas","given":"Norbert"}],"accessed":{"date-parts":[["2020",6,12]]},"issued":{"date-parts":[["2018"]]}}}],"schema":"https://github.com/citation-style-language/schema/raw/master/csl-citation.json"} </w:instrText>
      </w:r>
      <w:r w:rsidR="00CA386D">
        <w:fldChar w:fldCharType="separate"/>
      </w:r>
      <w:r w:rsidR="001328F1" w:rsidRPr="001328F1">
        <w:rPr>
          <w:rFonts w:ascii="Calibri" w:hAnsi="Calibri" w:cs="Calibri"/>
        </w:rPr>
        <w:t>(14)</w:t>
      </w:r>
      <w:r w:rsidR="00CA386D">
        <w:fldChar w:fldCharType="end"/>
      </w:r>
      <w:r w:rsidR="00D02AF0">
        <w:t xml:space="preserve">, we have identified four </w:t>
      </w:r>
      <w:r w:rsidR="00371711">
        <w:t>other</w:t>
      </w:r>
      <w:r w:rsidR="00D02AF0">
        <w:t xml:space="preserve"> considerations </w:t>
      </w:r>
      <w:r w:rsidR="00CA386D">
        <w:t xml:space="preserve">that </w:t>
      </w:r>
      <w:r w:rsidR="00D02AF0">
        <w:t xml:space="preserve">warrant inclusion. </w:t>
      </w:r>
      <w:r w:rsidR="00FF4D49">
        <w:t xml:space="preserve">According to the </w:t>
      </w:r>
      <w:r w:rsidR="00FF4D49" w:rsidRPr="00FF4D49">
        <w:t>Fifth National Mental Health and Suicide Prevention Plan</w:t>
      </w:r>
      <w:r w:rsidR="00FF4D49">
        <w:t>, almost half of adult Australians will experience mental illness</w:t>
      </w:r>
      <w:r w:rsidR="005F35CE">
        <w:t xml:space="preserve"> in their lifetime</w:t>
      </w:r>
      <w:r w:rsidR="00FF4D49">
        <w:fldChar w:fldCharType="begin"/>
      </w:r>
      <w:r w:rsidR="001328F1">
        <w:instrText xml:space="preserve"> ADDIN ZOTERO_ITEM CSL_CITATION {"citationID":"iuSIajKB","properties":{"formattedCitation":"(15)","plainCitation":"(15)","noteIndex":0},"citationItems":[{"id":6950,"uris":["http://zotero.org/groups/2501078/items/XL8XMTV7"],"uri":["http://zotero.org/groups/2501078/items/XL8XMTV7"],"itemData":{"id":6950,"type":"book","event-place":"Canberra","publisher":"Department of Health Canberra","publisher-place":"Canberra","source":"Google Scholar","title":"The Fifth National Mental Health and Suicide Prevention Plan","author":[{"family":"Australian Government Department of Health","given":""}],"issued":{"date-parts":[["2017"]]}}}],"schema":"https://github.com/citation-style-language/schema/raw/master/csl-citation.json"} </w:instrText>
      </w:r>
      <w:r w:rsidR="00FF4D49">
        <w:fldChar w:fldCharType="separate"/>
      </w:r>
      <w:r w:rsidR="001328F1" w:rsidRPr="001328F1">
        <w:rPr>
          <w:rFonts w:ascii="Calibri" w:hAnsi="Calibri" w:cs="Calibri"/>
        </w:rPr>
        <w:t>(15)</w:t>
      </w:r>
      <w:r w:rsidR="00FF4D49">
        <w:fldChar w:fldCharType="end"/>
      </w:r>
      <w:r w:rsidR="00FF4D49">
        <w:t xml:space="preserve">. </w:t>
      </w:r>
      <w:r w:rsidR="00052700">
        <w:t>M</w:t>
      </w:r>
      <w:r w:rsidR="00471F4E" w:rsidRPr="00471F4E">
        <w:t xml:space="preserve">ental health </w:t>
      </w:r>
      <w:r w:rsidR="00052700">
        <w:t xml:space="preserve">issues therefore deserve </w:t>
      </w:r>
      <w:r w:rsidR="00471F4E" w:rsidRPr="00471F4E">
        <w:t xml:space="preserve">prominence </w:t>
      </w:r>
      <w:r w:rsidR="00052700">
        <w:t>as a distinct category</w:t>
      </w:r>
      <w:r w:rsidR="00471F4E" w:rsidRPr="00471F4E">
        <w:t xml:space="preserve">. </w:t>
      </w:r>
      <w:r w:rsidR="005F35CE">
        <w:t>W</w:t>
      </w:r>
      <w:r w:rsidR="00587ED5">
        <w:t xml:space="preserve">e </w:t>
      </w:r>
      <w:r w:rsidR="00D1470A">
        <w:t>thus</w:t>
      </w:r>
      <w:r w:rsidR="005F35CE">
        <w:t xml:space="preserve"> </w:t>
      </w:r>
      <w:r w:rsidR="00587ED5">
        <w:t xml:space="preserve">propose </w:t>
      </w:r>
      <w:r w:rsidR="00471F4E">
        <w:t xml:space="preserve">that </w:t>
      </w:r>
      <w:r w:rsidR="00587ED5">
        <w:t>the</w:t>
      </w:r>
      <w:r w:rsidR="0080110E">
        <w:t xml:space="preserve"> third issue </w:t>
      </w:r>
      <w:r w:rsidR="00FE7A65">
        <w:t xml:space="preserve">should </w:t>
      </w:r>
      <w:r w:rsidR="005F35CE">
        <w:t>summarise</w:t>
      </w:r>
      <w:r w:rsidR="000D3441">
        <w:t xml:space="preserve"> </w:t>
      </w:r>
      <w:r w:rsidR="00471F4E">
        <w:t>any</w:t>
      </w:r>
      <w:r w:rsidR="00FE7A65">
        <w:t xml:space="preserve"> </w:t>
      </w:r>
      <w:r w:rsidR="007D6E3D">
        <w:t xml:space="preserve">formal </w:t>
      </w:r>
      <w:r w:rsidR="00A03868">
        <w:t>mental health</w:t>
      </w:r>
      <w:r w:rsidR="007D6E3D">
        <w:t xml:space="preserve"> diagnoses </w:t>
      </w:r>
      <w:r w:rsidR="00AC1482">
        <w:t>(e.g. depression</w:t>
      </w:r>
      <w:r w:rsidR="007D6E3D">
        <w:t>, personality disorders, or post-traumatic stress disorder)</w:t>
      </w:r>
      <w:r w:rsidR="00EE2D20">
        <w:t xml:space="preserve"> or absence of such diagnoses</w:t>
      </w:r>
      <w:r w:rsidR="00AC1482">
        <w:t xml:space="preserve">. </w:t>
      </w:r>
    </w:p>
    <w:p w14:paraId="4A8978D7" w14:textId="306628C3" w:rsidR="005A7A27" w:rsidRDefault="00F45AF4" w:rsidP="00A55129">
      <w:r>
        <w:t>In our experience o</w:t>
      </w:r>
      <w:r w:rsidR="006845D6">
        <w:t>besity and inappropriate polypharmacy</w:t>
      </w:r>
      <w:r>
        <w:t xml:space="preserve"> </w:t>
      </w:r>
      <w:r w:rsidR="006845D6">
        <w:t xml:space="preserve">are </w:t>
      </w:r>
      <w:r>
        <w:t xml:space="preserve">common but infrequently mentioned in the letter despite </w:t>
      </w:r>
      <w:r w:rsidR="00E05596">
        <w:t>posing</w:t>
      </w:r>
      <w:r>
        <w:t xml:space="preserve"> significant </w:t>
      </w:r>
      <w:r w:rsidR="00E05596">
        <w:t xml:space="preserve">population </w:t>
      </w:r>
      <w:r>
        <w:t>health burden</w:t>
      </w:r>
      <w:r w:rsidR="00E05596">
        <w:t>s</w:t>
      </w:r>
      <w:r>
        <w:fldChar w:fldCharType="begin"/>
      </w:r>
      <w:r>
        <w:instrText xml:space="preserve"> ADDIN ZOTERO_ITEM CSL_CITATION {"citationID":"JqpyVUpk","properties":{"formattedCitation":"(16,17)","plainCitation":"(16,17)","noteIndex":0},"citationItems":[{"id":242,"uris":["http://zotero.org/groups/2501078/items/VRRVCAQP"],"uri":["http://zotero.org/groups/2501078/items/VRRVCAQP"],"itemData":{"id":242,"type":"webpage","abstract":"Nutrition - Topic - Obesity - Obesity and Other Diet-related Chronic Diseases","container-title":"WHO","note":"source: www.who.int\npublisher: World Health Organization","title":"WHO | Controlling the global obesity epidemic","URL":"https://www.who.int/nutrition/topics/obesity/en/","author":[{"family":"World Health Organization","given":""}],"accessed":{"date-parts":[["2020",5,19]]},"issued":{"date-parts":[["2013",12,6]]}}},{"id":6942,"uris":["http://zotero.org/groups/2501078/items/GZZW5T77"],"uri":["http://zotero.org/groups/2501078/items/GZZW5T77"],"itemData":{"id":6942,"type":"article-journal","abstract":"Polypharmacy is considered as the administration of many drugs. It is a major public health concern, which is growing worldwide. The identification of polypharmacy relies on drug count on a given time window. Polypharmacy exists if this count exceeds a predefined threshold. Although there is no consensus among scientists, five is the most frequently used number. Depending on the time-windows, polypharmacy can be qualified as simultaneous, cumulative, or continuous. Drugs can be selected according to the duration or the recurrence of their use thereby introducing the concept of chronic polypharmacy. This general review aimed to compile data from the literature regarding descriptions and determinants of polypharmacy, according to used definitions and studied populations. The prevalence of polypharmacy varied according to the definition used (from 4% to 57%). It was high in elderly people but was also non negligible in younger subjects such as middle aged. Cardiovascular, digestive and metabolism drugs were among the most frequent drugs involved in polypharmacy. The determinants of polypharmacy included factors linked to the patient (sociodemographic parameters such as age, sex, income, and place of residence, ethnicity, behaviour), factors linked to the disease (certain diseases such as cardiovascular or metabolic disease, multiple comorbidity status), as well as factors linked to the healthcare system or to the physician. Finally, to date, little data is available regarding polypharmacy appropriateness, although these data are needed to have clinically important information beyond a quantitative estimation. Further research is warranted to fill this gap.","container-title":"Therapies","DOI":"10.1016/j.therap.2019.10.001","ISSN":"0040-5957","journalAbbreviation":"Therapies","language":"en","source":"ScienceDirect","title":"Polypharmacy: A general review of definitions, descriptions and determinants","title-short":"Polypharmacy","URL":"http://www.sciencedirect.com/science/article/pii/S0040595719301507","author":[{"family":"Guillot","given":"Jordan"},{"family":"Maumus-Robert","given":"Sandy"},{"family":"Bezin","given":"Julien"}],"accessed":{"date-parts":[["2020",6,12]]},"issued":{"date-parts":[["2019",10,28]]}}}],"schema":"https://github.com/citation-style-language/schema/raw/master/csl-citation.json"} </w:instrText>
      </w:r>
      <w:r>
        <w:fldChar w:fldCharType="separate"/>
      </w:r>
      <w:r w:rsidRPr="00F45AF4">
        <w:rPr>
          <w:rFonts w:ascii="Calibri" w:hAnsi="Calibri" w:cs="Calibri"/>
        </w:rPr>
        <w:t>(16,17)</w:t>
      </w:r>
      <w:r>
        <w:fldChar w:fldCharType="end"/>
      </w:r>
      <w:r w:rsidR="00587ED5">
        <w:t xml:space="preserve">. </w:t>
      </w:r>
      <w:r>
        <w:t>W</w:t>
      </w:r>
      <w:r w:rsidR="00587ED5">
        <w:t xml:space="preserve">e </w:t>
      </w:r>
      <w:r>
        <w:t xml:space="preserve">therefore </w:t>
      </w:r>
      <w:r w:rsidR="00587ED5">
        <w:t xml:space="preserve">propose that </w:t>
      </w:r>
      <w:r>
        <w:t>a</w:t>
      </w:r>
      <w:r w:rsidR="001E7BE5">
        <w:t xml:space="preserve"> statement on polypharmacy </w:t>
      </w:r>
      <w:r>
        <w:t>(</w:t>
      </w:r>
      <w:r w:rsidR="001E7BE5">
        <w:t>allow</w:t>
      </w:r>
      <w:r>
        <w:t>ing</w:t>
      </w:r>
      <w:r w:rsidR="001E7BE5">
        <w:t xml:space="preserve"> the writer to summarise the current medication list and previous medication trials</w:t>
      </w:r>
      <w:r>
        <w:t>) and metabolic health be included as a cognitive aid for these issues to be addressed in the management plan</w:t>
      </w:r>
      <w:r w:rsidR="001E7BE5">
        <w:t>. And o</w:t>
      </w:r>
      <w:r w:rsidR="00587ED5">
        <w:t xml:space="preserve">n the subject of metabolic health, we prefer </w:t>
      </w:r>
      <w:r w:rsidR="008E3E22">
        <w:t xml:space="preserve">the </w:t>
      </w:r>
      <w:r w:rsidR="00587ED5">
        <w:t>“waist to height ratio”</w:t>
      </w:r>
      <w:r w:rsidR="00EE2D20">
        <w:t xml:space="preserve"> nomenclature over </w:t>
      </w:r>
      <w:r w:rsidR="00587ED5">
        <w:t>body mass index</w:t>
      </w:r>
      <w:r w:rsidR="00587ED5">
        <w:fldChar w:fldCharType="begin"/>
      </w:r>
      <w:r w:rsidR="001328F1">
        <w:instrText xml:space="preserve"> ADDIN ZOTERO_ITEM CSL_CITATION {"citationID":"MRbwDmak","properties":{"formattedCitation":"(18)","plainCitation":"(18)","noteIndex":0},"citationItems":[{"id":246,"uris":["http://zotero.org/users/6495881/items/WM4GMA2X"],"uri":["http://zotero.org/users/6495881/items/WM4GMA2X"],"itemData":{"id":246,"type":"article-journal","abstract":"Objectives There is now good evidence that central obesity carries more health risks compared with total obesity assessed by body mass index (BMI). It has therefore been suggested that waist circumference (WC), a proxy for central obesity, should be included with BMI in a ‘matrix’ to categorise health risk. We wanted to compare how the adult UK population is classified using such a ‘matrix’ with that using another proxy for central obesity, waist-to-height ratio (WHtR), using a boundary value of 0.5. Further, we wished to compare cardiometabolic risk factors in adults with ‘healthy’ BMI divided according to whether they have WHtR below or above 0.5.\nSetting, participants and outcome measures Recent data from 4 years (2008–2012) of the UK National Diet and Nutrition Survey (NDNS) (n=1453 adults) were used to cross-classify respondents on anthropometric indices. Regression was used to examine differences in levels of risk factors (triglycerides (TG), total cholesterol (TC), low-density lipoprotein (LDL), high-density lipoprotein (HDL), TC: HDL, glycated haemoglobin (HbA1c), fasting glucose, systolic (SBP) and diastolic blood pressure (DBP)) according to WHtR below and above 0.5, with adjustment for confounders (age, sex and BMI).\nResults 35% of the group who were judged to be at ‘no increased risk’ using the ‘matrix’ had WHtR ≥0.5. The ‘matrix’ did not assign ‘increased risk’ to those with a ‘healthy’ BMI and ‘high’ waist circumference. However, our analysis showed that the group with ‘healthy’ BMI, and WHtR ≥0.5, had some significantly higher cardiometabolic risk factors compared to the group with ‘healthy’ BMI but WHtR below 0.5.\nConclusions Use of a simple boundary value for WHtR (0.5) identifies more people at ‘early health risk’ than does a more complex ‘matrix’ using traditional boundary values for BMI and WC. WHtR may be a simpler and more predictive indicator of the ‘early heath risks’ associated with central obesity.","container-title":"BMJ Open","DOI":"10.1136/bmjopen-2015-010159","ISSN":"2044-6055, 2044-6055","issue":"3","language":"en","note":"PMID: 26975935","page":"e010159","source":"bmjopen.bmj.com","title":"Waist-to-height ratio as an indicator of ‘early health risk’: simpler and more predictive than using a ‘matrix’ based on BMI and waist circumference","title-short":"Waist-to-height ratio as an indicator of ‘early health risk’","volume":"6","author":[{"family":"Ashwell","given":"Margaret"},{"family":"Gibson","given":"Sigrid"}],"issued":{"date-parts":[["2016",3,1]]}}}],"schema":"https://github.com/citation-style-language/schema/raw/master/csl-citation.json"} </w:instrText>
      </w:r>
      <w:r w:rsidR="00587ED5">
        <w:fldChar w:fldCharType="separate"/>
      </w:r>
      <w:r w:rsidR="001328F1" w:rsidRPr="001328F1">
        <w:rPr>
          <w:rFonts w:ascii="Calibri" w:hAnsi="Calibri" w:cs="Calibri"/>
        </w:rPr>
        <w:t>(18)</w:t>
      </w:r>
      <w:r w:rsidR="00587ED5">
        <w:fldChar w:fldCharType="end"/>
      </w:r>
      <w:r w:rsidR="00587ED5">
        <w:t xml:space="preserve">, and </w:t>
      </w:r>
      <w:r w:rsidR="00EE2D20">
        <w:t>use it to</w:t>
      </w:r>
      <w:r w:rsidR="008E3E22">
        <w:t xml:space="preserve"> </w:t>
      </w:r>
      <w:r w:rsidR="00587ED5">
        <w:t>avoid</w:t>
      </w:r>
      <w:r w:rsidR="008E3E22">
        <w:t xml:space="preserve"> </w:t>
      </w:r>
      <w:r w:rsidR="00587ED5">
        <w:t xml:space="preserve">the term “obesity” </w:t>
      </w:r>
      <w:r w:rsidR="007B14D2">
        <w:t xml:space="preserve">because of </w:t>
      </w:r>
      <w:r w:rsidR="00E05596">
        <w:t>obesity’s</w:t>
      </w:r>
      <w:r w:rsidR="007B14D2">
        <w:t xml:space="preserve"> </w:t>
      </w:r>
      <w:r w:rsidR="00A03868">
        <w:t>pejorative</w:t>
      </w:r>
      <w:r w:rsidR="00587ED5">
        <w:t xml:space="preserve"> </w:t>
      </w:r>
      <w:r w:rsidR="007D77E2">
        <w:t>connotation</w:t>
      </w:r>
      <w:r w:rsidR="001C25DE">
        <w:t>s</w:t>
      </w:r>
      <w:r w:rsidR="00285884">
        <w:fldChar w:fldCharType="begin"/>
      </w:r>
      <w:r w:rsidR="001328F1">
        <w:instrText xml:space="preserve"> ADDIN ZOTERO_ITEM CSL_CITATION {"citationID":"DrtSzfzc","properties":{"formattedCitation":"(19)","plainCitation":"(19)","noteIndex":0},"citationItems":[{"id":8304,"uris":["http://zotero.org/groups/2501078/items/ZA3QIPYV"],"uri":["http://zotero.org/groups/2501078/items/ZA3QIPYV"],"itemData":{"id":8304,"type":"article-journal","abstract":"KEY POINTS\nObesity is a complex chronic disease in which abnormal or excess body fat (adiposity) impairs health, increases the risk of long-term medical complications and reduces lifespan.[1][1] Epidemiologic studies define obesity using the body mass index (BMI; weight/height2), which can stratify","container-title":"CMAJ","DOI":"10.1503/cmaj.191707","ISSN":"0820-3946, 1488-2329","issue":"31","language":"en","note":"publisher: CMAJ\nsection: Guideline\nPMID: 32753461","page":"E875-E891","source":"www.cmaj.ca","title":"Obesity in adults: a clinical practice guideline","title-short":"Obesity in adults","volume":"192","author":[{"family":"Wharton","given":"Sean"},{"family":"Lau","given":"David C. W."},{"family":"Vallis","given":"Michael"},{"family":"Sharma","given":"Arya M."},{"family":"Biertho","given":"Laurent"},{"family":"Campbell-Scherer","given":"Denise"},{"family":"Adamo","given":"Kristi"},{"family":"Alberga","given":"Angela"},{"family":"Bell","given":"Rhonda"},{"family":"Boulé","given":"Normand"},{"family":"Boyling","given":"Elaine"},{"family":"Brown","given":"Jennifer"},{"family":"Calam","given":"Betty"},{"family":"Clarke","given":"Carol"},{"family":"Crowshoe","given":"Lindsay"},{"family":"Divalentino","given":"Dennis"},{"family":"Forhan","given":"Mary"},{"family":"Freedhoff","given":"Yoni"},{"family":"Gagner","given":"Michel"},{"family":"Glazer","given":"Stephen"},{"family":"Grand","given":"Cindy"},{"family":"Green","given":"Michael"},{"family":"Hahn","given":"Margaret"},{"family":"Hawa","given":"Raed"},{"family":"Henderson","given":"Rita"},{"family":"Hong","given":"Dennis"},{"family":"Hung","given":"Pam"},{"family":"Janssen","given":"Ian"},{"family":"Jacklin","given":"Kristen"},{"family":"Johnson-Stoklossa","given":"Carlene"},{"family":"Kemp","given":"Amy"},{"family":"Kirk","given":"Sara"},{"family":"Kuk","given":"Jennifer"},{"family":"Langlois","given":"Marie-France"},{"family":"Lear","given":"Scott"},{"family":"McInnes","given":"Ashley"},{"family":"Macklin","given":"David"},{"family":"Naji","given":"Leen"},{"family":"Manjoo","given":"Priya"},{"family":"Morin","given":"Marie-Philippe"},{"family":"Nerenberg","given":"Kara"},{"family":"Patton","given":"Ian"},{"family":"Pedersen","given":"Sue"},{"family":"Pereira","given":"Leticia"},{"family":"Piccinini-Vallis","given":"Helena"},{"family":"Poddar","given":"Megha"},{"family":"Poirier","given":"Paul"},{"family":"Prud’homme","given":"Denis"},{"family":"Salas","given":"Ximena Ramos"},{"family":"Rueda-Clausen","given":"Christian"},{"family":"Russell-Mayhew","given":"Shelly"},{"family":"Shiau","given":"Judy"},{"family":"Sherifali","given":"Diana"},{"family":"Sievenpiper","given":"John"},{"family":"Sockalingam","given":"Sanjeev"},{"family":"Taylor","given":"Valerie"},{"family":"Toth","given":"Ellen"},{"family":"Twells","given":"Laurie"},{"family":"Tytus","given":"Richard"},{"family":"Walji","given":"Shahebina"},{"family":"Walker","given":"Leah"},{"family":"Wicklum","given":"Sonja"}],"issued":{"date-parts":[["2020",8,4]]}}}],"schema":"https://github.com/citation-style-language/schema/raw/master/csl-citation.json"} </w:instrText>
      </w:r>
      <w:r w:rsidR="00285884">
        <w:fldChar w:fldCharType="separate"/>
      </w:r>
      <w:r w:rsidR="001328F1" w:rsidRPr="001328F1">
        <w:rPr>
          <w:rFonts w:ascii="Calibri" w:hAnsi="Calibri" w:cs="Calibri"/>
        </w:rPr>
        <w:t>(19)</w:t>
      </w:r>
      <w:r w:rsidR="00285884">
        <w:fldChar w:fldCharType="end"/>
      </w:r>
      <w:r w:rsidR="00587ED5">
        <w:t>.</w:t>
      </w:r>
      <w:r w:rsidR="006845D6">
        <w:t xml:space="preserve"> </w:t>
      </w:r>
    </w:p>
    <w:p w14:paraId="4AD41631" w14:textId="26B4F05C" w:rsidR="00AC1482" w:rsidRDefault="008E3E22" w:rsidP="00A55129">
      <w:r>
        <w:t>“</w:t>
      </w:r>
      <w:r w:rsidR="00587ED5">
        <w:t>Social determinants of health</w:t>
      </w:r>
      <w:r>
        <w:t>”</w:t>
      </w:r>
      <w:r w:rsidR="007D77E2">
        <w:t xml:space="preserve"> is defined as “</w:t>
      </w:r>
      <w:r w:rsidR="007D77E2" w:rsidRPr="007D77E2">
        <w:t>the conditions in which people are born, grow, live, work and age</w:t>
      </w:r>
      <w:r w:rsidR="007D77E2">
        <w:t>”</w:t>
      </w:r>
      <w:r w:rsidR="007D77E2">
        <w:fldChar w:fldCharType="begin"/>
      </w:r>
      <w:r w:rsidR="001328F1">
        <w:instrText xml:space="preserve"> ADDIN ZOTERO_ITEM CSL_CITATION {"citationID":"ukU2dgoH","properties":{"formattedCitation":"(20)","plainCitation":"(20)","noteIndex":0},"citationItems":[{"id":6951,"uris":["http://zotero.org/groups/2501078/items/MX25K7KM"],"uri":["http://zotero.org/groups/2501078/items/MX25K7KM"],"itemData":{"id":6951,"type":"webpage","abstract":"Member States adopted the Rio Political Declaration at the World Conference on Social Determinants of Health in October 2011 in Rio de Janeiro, Brazil, calling upon them to act in five areas:","container-title":"WHO","note":"source: www.who.int\npublisher: World Health Organization","title":"WHO | About social determinants of health","URL":"http://www.who.int/social_determinants/sdh_definition/en/","author":[{"family":"World Health Organization","given":""}],"accessed":{"date-parts":[["2020",6,12]]},"issued":{"date-parts":[["2017"]]}}}],"schema":"https://github.com/citation-style-language/schema/raw/master/csl-citation.json"} </w:instrText>
      </w:r>
      <w:r w:rsidR="007D77E2">
        <w:fldChar w:fldCharType="separate"/>
      </w:r>
      <w:r w:rsidR="001328F1" w:rsidRPr="001328F1">
        <w:rPr>
          <w:rFonts w:ascii="Calibri" w:hAnsi="Calibri" w:cs="Calibri"/>
        </w:rPr>
        <w:t>(20)</w:t>
      </w:r>
      <w:r w:rsidR="007D77E2">
        <w:fldChar w:fldCharType="end"/>
      </w:r>
      <w:r w:rsidR="00704C3C">
        <w:t>.</w:t>
      </w:r>
      <w:r w:rsidR="007D77E2">
        <w:t xml:space="preserve"> We believe that a short summary of these conditions</w:t>
      </w:r>
      <w:r w:rsidR="005F35CE">
        <w:t xml:space="preserve"> is in keeping with Engel’s biopsychosocial model</w:t>
      </w:r>
      <w:r w:rsidR="00EE2D20">
        <w:fldChar w:fldCharType="begin"/>
      </w:r>
      <w:r w:rsidR="001328F1">
        <w:instrText xml:space="preserve"> ADDIN ZOTERO_ITEM CSL_CITATION {"citationID":"fwDNNAFu","properties":{"formattedCitation":"(13)","plainCitation":"(13)","noteIndex":0},"citationItems":[{"id":239,"uris":["http://zotero.org/groups/2501078/items/T4WDGGKB"],"uri":["http://zotero.org/groups/2501078/items/T4WDGGKB"],"itemData":{"id":239,"type":"article-journal","abstract":"How physicians approach patients and the problems they present is much influenced by the conceptual models around which their knowledge is organized. In this paper the implications of the biopsychosocial model for the study and care of a patient with an acute myocardial infarction are presented and contrasted with approaches used by adherents of the more traditional biomedical model. A medical rather than psychiatric patient was selected to emphasize the unity of medicine and to help define the place of psychiatrists in the education of physicians of the future.","container-title":"American Journal of Psychiatry","DOI":"10.1176/ajp.137.5.535","ISSN":"0002-953X","issue":"5","journalAbbreviation":"AJP","note":"publisher: American Psychiatric Publishing","page":"535-544","source":"ajp-psychiatryonline-org-acs-hcn-com-au.journals.library.austin.org.au (Atypon)","title":"The clinical application of the biopsychosocial model","volume":"137","author":[{"family":"Engel","given":"George L."}],"issued":{"date-parts":[["1980",5,1]]}}}],"schema":"https://github.com/citation-style-language/schema/raw/master/csl-citation.json"} </w:instrText>
      </w:r>
      <w:r w:rsidR="00EE2D20">
        <w:fldChar w:fldCharType="separate"/>
      </w:r>
      <w:r w:rsidR="001328F1" w:rsidRPr="001328F1">
        <w:rPr>
          <w:rFonts w:ascii="Calibri" w:hAnsi="Calibri" w:cs="Calibri"/>
        </w:rPr>
        <w:t>(13)</w:t>
      </w:r>
      <w:r w:rsidR="00EE2D20">
        <w:fldChar w:fldCharType="end"/>
      </w:r>
      <w:r w:rsidR="005F35CE">
        <w:t xml:space="preserve"> and</w:t>
      </w:r>
      <w:r w:rsidR="007D77E2">
        <w:t xml:space="preserve"> helps the reader better understand the patient</w:t>
      </w:r>
      <w:r>
        <w:t>’s</w:t>
      </w:r>
      <w:r w:rsidR="005F35CE">
        <w:t xml:space="preserve"> </w:t>
      </w:r>
      <w:r w:rsidR="007D77E2">
        <w:t>context. In our formulation</w:t>
      </w:r>
      <w:r w:rsidR="00293434">
        <w:t xml:space="preserve"> template</w:t>
      </w:r>
      <w:r w:rsidR="007D77E2">
        <w:t>, t</w:t>
      </w:r>
      <w:r w:rsidR="00F05F9D">
        <w:t>h</w:t>
      </w:r>
      <w:r w:rsidR="00653FD7">
        <w:t>is</w:t>
      </w:r>
      <w:r w:rsidR="00F05F9D">
        <w:t xml:space="preserve"> final issue should summarise </w:t>
      </w:r>
      <w:r w:rsidR="00F0621D">
        <w:t xml:space="preserve">developmental </w:t>
      </w:r>
      <w:r w:rsidR="000A74AE">
        <w:t>and</w:t>
      </w:r>
      <w:r w:rsidR="00F0621D">
        <w:t xml:space="preserve"> </w:t>
      </w:r>
      <w:r w:rsidR="00F05F9D" w:rsidRPr="00F05F9D">
        <w:t>social factors</w:t>
      </w:r>
      <w:r w:rsidR="007E6AA3">
        <w:t xml:space="preserve"> that may </w:t>
      </w:r>
      <w:r w:rsidR="00F0621D">
        <w:t>contribut</w:t>
      </w:r>
      <w:r w:rsidR="000A74AE">
        <w:t>e</w:t>
      </w:r>
      <w:r w:rsidR="00F0621D">
        <w:t xml:space="preserve"> to the presentation</w:t>
      </w:r>
      <w:r w:rsidR="00F05F9D" w:rsidRPr="00F05F9D">
        <w:t xml:space="preserve">. </w:t>
      </w:r>
      <w:r w:rsidR="000A74AE">
        <w:t>Both p</w:t>
      </w:r>
      <w:r w:rsidR="00F05F9D" w:rsidRPr="00F05F9D">
        <w:t>recipit</w:t>
      </w:r>
      <w:r w:rsidR="000A74AE">
        <w:t xml:space="preserve">ating </w:t>
      </w:r>
      <w:r w:rsidR="00F05F9D" w:rsidRPr="00F05F9D">
        <w:t xml:space="preserve">and maintaining </w:t>
      </w:r>
      <w:r w:rsidR="00FD3178">
        <w:t xml:space="preserve">negative </w:t>
      </w:r>
      <w:r w:rsidR="00F05F9D" w:rsidRPr="00F05F9D">
        <w:t xml:space="preserve">factors </w:t>
      </w:r>
      <w:r w:rsidR="000A74AE">
        <w:t>(</w:t>
      </w:r>
      <w:r w:rsidR="00F0621D">
        <w:t xml:space="preserve">e.g. </w:t>
      </w:r>
      <w:r w:rsidR="00FD3178">
        <w:t xml:space="preserve">adverse </w:t>
      </w:r>
      <w:r w:rsidR="00F0621D">
        <w:t>childhood experiences</w:t>
      </w:r>
      <w:r w:rsidR="005A7A27">
        <w:fldChar w:fldCharType="begin"/>
      </w:r>
      <w:r w:rsidR="001328F1">
        <w:instrText xml:space="preserve"> ADDIN ZOTERO_ITEM CSL_CITATION {"citationID":"agyurrio","properties":{"formattedCitation":"(21)","plainCitation":"(21)","noteIndex":0},"citationItems":[{"id":260,"uris":["http://zotero.org/groups/2501078/items/VG3NV8RC"],"uri":["http://zotero.org/groups/2501078/items/VG3NV8RC"],"itemData":{"id":260,"type":"article-journal","abstract":"Background: The relationship of health risk behavior and disease in adulthood to the breadth of exposure to childhood emotional, physical, or sexual abuse, and household dysfunction during childhood has not previously been described. 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 and risk factors for the leading causes of death in adult life. Results: More than half of respondents reported at least one, and one-fourth reported ≥2 categories of childhood exposures. We found a graded relationship between the number of categories of childhood exposure and each of the adult health risk behaviors and diseases that were studied (P &lt; .001). Persons who had experienced four or more categories of childhood exposure, compared to those who had experienced none, had 4- to 12-fold increased health risks for alcoholism, drug abuse, depression, and suicide attempt; a 2- to 4-fold increase in smoking, poor self-rated health, ≥50 sexual intercourse partners, and sexually transmitted disease; and a 1.4- to 1.6-fold increase in physical inactivity and severe obesity.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 Conclusions: We found a strong graded relationship between the breadth of exposure to abuse or household dysfunction during childhood and multiple risk factors for several of the leading causes of death in adults.","container-title":"American Journal of Preventive Medicine","DOI":"10.1016/S0749-3797(98)00017-8","ISSN":"0749-3797","issue":"4","journalAbbreviation":"American Journal of Preventive Medicine","language":"en","page":"245-258","source":"ScienceDirect","title":"Relationship of Childhood Abuse and Household Dysfunction to Many of the Leading Causes of Death in Adults: The Adverse Childhood Experiences (ACE) Study","title-short":"Relationship of Childhood Abuse and Household Dysfunction to Many of the Leading Causes of Death in Adults","volume":"14","author":[{"family":"Felitti","given":"Vincent J"},{"family":"Anda","given":"Robert F"},{"family":"Nordenberg","given":"Dale"},{"family":"Williamson","given":"David F"},{"family":"Spitz","given":"Alison M"},{"family":"Edwards","given":"Valerie"},{"family":"Koss","given":"Mary P"},{"family":"Marks","given":"James S"}],"issued":{"date-parts":[["1998",5,1]]}}}],"schema":"https://github.com/citation-style-language/schema/raw/master/csl-citation.json"} </w:instrText>
      </w:r>
      <w:r w:rsidR="005A7A27">
        <w:fldChar w:fldCharType="separate"/>
      </w:r>
      <w:r w:rsidR="001328F1" w:rsidRPr="001328F1">
        <w:rPr>
          <w:rFonts w:ascii="Calibri" w:hAnsi="Calibri" w:cs="Calibri"/>
        </w:rPr>
        <w:t>(21)</w:t>
      </w:r>
      <w:r w:rsidR="005A7A27">
        <w:fldChar w:fldCharType="end"/>
      </w:r>
      <w:r w:rsidR="00F0621D">
        <w:t>, long-term unemployment, financial stress, social isolation</w:t>
      </w:r>
      <w:r w:rsidR="000A74AE">
        <w:t xml:space="preserve">) and </w:t>
      </w:r>
      <w:r w:rsidR="00597B59">
        <w:t xml:space="preserve">positive </w:t>
      </w:r>
      <w:r w:rsidR="000A74AE">
        <w:t>p</w:t>
      </w:r>
      <w:r w:rsidR="00F05F9D" w:rsidRPr="00F05F9D">
        <w:t xml:space="preserve">rotective factors </w:t>
      </w:r>
      <w:r w:rsidR="000A74AE">
        <w:t xml:space="preserve">(e.g. </w:t>
      </w:r>
      <w:r w:rsidR="00F0621D">
        <w:t>family supports, high levels of education</w:t>
      </w:r>
      <w:r w:rsidR="000A74AE">
        <w:t xml:space="preserve">) </w:t>
      </w:r>
      <w:r w:rsidR="00F05F9D" w:rsidRPr="00F05F9D">
        <w:t xml:space="preserve">should be </w:t>
      </w:r>
      <w:r w:rsidR="000A74AE">
        <w:t>described</w:t>
      </w:r>
      <w:r w:rsidR="00F05F9D" w:rsidRPr="00F05F9D">
        <w:t>.</w:t>
      </w:r>
    </w:p>
    <w:p w14:paraId="76B1EEB9" w14:textId="77777777" w:rsidR="00435F1C" w:rsidRDefault="00435F1C" w:rsidP="0060497B">
      <w:pPr>
        <w:pStyle w:val="Heading2"/>
      </w:pPr>
      <w:r>
        <w:lastRenderedPageBreak/>
        <w:t>Medical education</w:t>
      </w:r>
    </w:p>
    <w:p w14:paraId="23202AD7" w14:textId="42D8D6FB" w:rsidR="00435F1C" w:rsidRDefault="00C200F7" w:rsidP="00435F1C">
      <w:r>
        <w:t>Some might see letter writing as akin to turning on a hose; we see it</w:t>
      </w:r>
      <w:r w:rsidR="00680A01">
        <w:t xml:space="preserve">s complexity closer to </w:t>
      </w:r>
      <w:r>
        <w:t>building an irrigation system</w:t>
      </w:r>
      <w:r w:rsidR="00680A01">
        <w:t>.</w:t>
      </w:r>
      <w:r>
        <w:t xml:space="preserve"> </w:t>
      </w:r>
      <w:r w:rsidR="00680A01">
        <w:t xml:space="preserve">We therefore </w:t>
      </w:r>
      <w:r w:rsidR="005F2EFA">
        <w:t xml:space="preserve">believe that a lack of prominence in </w:t>
      </w:r>
      <w:r w:rsidR="001C0558">
        <w:t xml:space="preserve">medical </w:t>
      </w:r>
      <w:r w:rsidR="005F2EFA">
        <w:t xml:space="preserve">curricula is partly to blame for suboptimal </w:t>
      </w:r>
      <w:r w:rsidR="001C0558">
        <w:t>doctors’</w:t>
      </w:r>
      <w:r w:rsidR="005F2EFA">
        <w:t xml:space="preserve"> letters. F</w:t>
      </w:r>
      <w:r w:rsidR="00435F1C">
        <w:t xml:space="preserve">ew doctors receive formal training in </w:t>
      </w:r>
      <w:r w:rsidR="00293434">
        <w:t xml:space="preserve">formulation and </w:t>
      </w:r>
      <w:r w:rsidR="00435F1C">
        <w:t>writing letters</w:t>
      </w:r>
      <w:r w:rsidR="00435F1C">
        <w:fldChar w:fldCharType="begin"/>
      </w:r>
      <w:r w:rsidR="001328F1">
        <w:instrText xml:space="preserve"> ADDIN ZOTERO_ITEM CSL_CITATION {"citationID":"wDS2mgs8","properties":{"formattedCitation":"(4)","plainCitation":"(4)","noteIndex":0},"citationItems":[{"id":183,"uris":["http://zotero.org/groups/2501078/items/2CMMKMQQ"],"uri":["http://zotero.org/groups/2501078/items/2CMMKMQQ"],"itemData":{"id":183,"type":"article-journal","abstract":"Effective communication between the consultants and physicians form an integral foundation of effective and expert patient care. A broad review of the literature has not been undertaken to determine the components of a consultant’s letter of most value to the referring physician. We aimed to identify the components of a consultant’s letter preferred by referring physicians.","container-title":"Journal of General Internal Medicine","DOI":"10.1007/s11606-018-4356-3","ISSN":"1525-1497","issue":"6","journalAbbreviation":"J GEN INTERN MED","language":"en","page":"948-954","source":"Springer Link","title":"Valued Components of a Consultant Letter from Referring Physicians’ Perspective: a Systematic Literature Synthesis","title-short":"Valued Components of a Consultant Letter from Referring Physicians’ Perspective","volume":"33","author":[{"family":"Rash","given":"Arjun H."},{"family":"Sheldon","given":"Robert"},{"family":"Donald","given":"Maoliosa"},{"family":"Eronmwon","given":"Cindy"},{"family":"Kuriachan","given":"Vikas P."}],"issued":{"date-parts":[["2018",6,1]]}}}],"schema":"https://github.com/citation-style-language/schema/raw/master/csl-citation.json"} </w:instrText>
      </w:r>
      <w:r w:rsidR="00435F1C">
        <w:fldChar w:fldCharType="separate"/>
      </w:r>
      <w:r w:rsidR="001328F1" w:rsidRPr="001328F1">
        <w:rPr>
          <w:rFonts w:ascii="Calibri" w:hAnsi="Calibri" w:cs="Calibri"/>
        </w:rPr>
        <w:t>(4)</w:t>
      </w:r>
      <w:r w:rsidR="00435F1C">
        <w:fldChar w:fldCharType="end"/>
      </w:r>
      <w:r w:rsidR="00293434">
        <w:t xml:space="preserve">, </w:t>
      </w:r>
      <w:r w:rsidR="00435F1C">
        <w:t>and letter</w:t>
      </w:r>
      <w:r w:rsidR="00D1470A">
        <w:t>-</w:t>
      </w:r>
      <w:r w:rsidR="00435F1C">
        <w:t>writing education interventions can be expensive</w:t>
      </w:r>
      <w:r w:rsidR="00435F1C">
        <w:fldChar w:fldCharType="begin"/>
      </w:r>
      <w:r w:rsidR="001328F1">
        <w:instrText xml:space="preserve"> ADDIN ZOTERO_ITEM CSL_CITATION {"citationID":"MN4Ljc9q","properties":{"formattedCitation":"(3)","plainCitation":"(3)","noteIndex":0},"citationItems":[{"id":182,"uris":["http://zotero.org/groups/2501078/items/Z95LRXFX"],"uri":["http://zotero.org/groups/2501078/items/Z95LRXFX"],"itemData":{"id":182,"type":"article-journal","abstract":"Information contained in letters of referral and reply often does not meet the information needs of letter recipients. </w:instrText>
      </w:r>
      <w:r w:rsidR="001328F1">
        <w:rPr>
          <w:rFonts w:ascii="Arial" w:hAnsi="Arial" w:cs="Arial"/>
        </w:rPr>
        <w:instrText>■</w:instrText>
      </w:r>
      <w:r w:rsidR="001328F1">
        <w:instrText xml:space="preserve"> Missing reports of previous investigations and insufficient detail in the referral letter to specialists are the most serious and common problems. </w:instrText>
      </w:r>
      <w:r w:rsidR="001328F1">
        <w:rPr>
          <w:rFonts w:ascii="Arial" w:hAnsi="Arial" w:cs="Arial"/>
        </w:rPr>
        <w:instrText>■</w:instrText>
      </w:r>
      <w:r w:rsidR="001328F1">
        <w:instrText xml:space="preserve"> General practitioners prefer structured, computergenerated letters to unstructured, dictated letters. </w:instrText>
      </w:r>
      <w:r w:rsidR="001328F1">
        <w:rPr>
          <w:rFonts w:ascii="Arial" w:hAnsi="Arial" w:cs="Arial"/>
        </w:rPr>
        <w:instrText>■</w:instrText>
      </w:r>
      <w:r w:rsidR="001328F1">
        <w:instrText xml:space="preserve"> Referring surgeons and GPs identify delay in receiving the reply letter and insufficient detail as relatively common problems after a new patient consultation. They want the reply letter to describe the proposed treatment, expected outcomes and any psychosocial concerns, yet these items are often omitted.","container-title":"Medical Journal of Australia","language":"en","page":"5","source":"Zotero","title":"Improving doctors’ letters","volume":"177","author":[{"family":"Tattersall","given":"Martin H N"},{"family":"Butow","given":"Phyllis N"},{"family":"Brown","given":"Judith E"},{"family":"Thompson","given":"John F"}],"issued":{"date-parts":[["2002"]]}}}],"schema":"https://github.com/citation-style-language/schema/raw/master/csl-citation.json"} </w:instrText>
      </w:r>
      <w:r w:rsidR="00435F1C">
        <w:fldChar w:fldCharType="separate"/>
      </w:r>
      <w:r w:rsidR="001328F1" w:rsidRPr="001328F1">
        <w:rPr>
          <w:rFonts w:ascii="Calibri" w:hAnsi="Calibri" w:cs="Calibri"/>
        </w:rPr>
        <w:t>(3)</w:t>
      </w:r>
      <w:r w:rsidR="00435F1C">
        <w:fldChar w:fldCharType="end"/>
      </w:r>
      <w:r w:rsidR="00435F1C">
        <w:t xml:space="preserve">. However, </w:t>
      </w:r>
      <w:r w:rsidR="005F2EFA">
        <w:t>in the context of competency-based medical education</w:t>
      </w:r>
      <w:r w:rsidR="00A20453">
        <w:t xml:space="preserve"> and </w:t>
      </w:r>
      <w:r w:rsidR="00DA324A">
        <w:t>patient safety</w:t>
      </w:r>
      <w:r w:rsidR="00A20453">
        <w:fldChar w:fldCharType="begin"/>
      </w:r>
      <w:r w:rsidR="00DA324A">
        <w:instrText xml:space="preserve"> ADDIN ZOTERO_ITEM CSL_CITATION {"citationID":"nSPAQtPn","properties":{"formattedCitation":"(1,2)","plainCitation":"(1,2)","noteIndex":0},"citationItems":[{"id":9136,"uris":["http://zotero.org/users/6495881/items/48ITIHNK"],"uri":["http://zotero.org/users/6495881/items/48ITIHNK"],"itemData":{"id":9136,"type":"webpage","container-title":"WHO","note":"publisher: World Health Organization","title":"World Patient Safety Day","URL":"http://www.who.int/patientsafety/world-patient-safety-day/en/","author":[{"literal":"World Health Organisation"}],"accessed":{"date-parts":[["2020",10,8]]},"issued":{"date-parts":[["2020",7,20]]}}},{"id":9138,"uris":["http://zotero.org/users/6495881/items/W4DPYCLP"],"uri":["http://zotero.org/users/6495881/items/W4DPYCLP"],"itemData":{"id":9138,"type":"webpage","title":"Communicating for Safety Standard","URL":"https://www.safetyandquality.gov.au/standards/nsqhs-standards/communicating-safety-standard","author":[{"literal":"Australian Commission on Safety and Quality in Health Care"}],"accessed":{"date-parts":[["2020",10,8]]}}}],"schema":"https://github.com/citation-style-language/schema/raw/master/csl-citation.json"} </w:instrText>
      </w:r>
      <w:r w:rsidR="00A20453">
        <w:fldChar w:fldCharType="separate"/>
      </w:r>
      <w:r w:rsidR="00DA324A" w:rsidRPr="00DA324A">
        <w:rPr>
          <w:rFonts w:ascii="Calibri" w:hAnsi="Calibri" w:cs="Calibri"/>
        </w:rPr>
        <w:t>(1,2)</w:t>
      </w:r>
      <w:r w:rsidR="00A20453">
        <w:fldChar w:fldCharType="end"/>
      </w:r>
      <w:r w:rsidR="005F2EFA">
        <w:t xml:space="preserve">, </w:t>
      </w:r>
      <w:r w:rsidR="00293434">
        <w:t xml:space="preserve">formulation and </w:t>
      </w:r>
      <w:r w:rsidR="00435F1C">
        <w:t xml:space="preserve">letter writing </w:t>
      </w:r>
      <w:r w:rsidR="005F2EFA">
        <w:t>should be seen as</w:t>
      </w:r>
      <w:r w:rsidR="00435F1C">
        <w:t xml:space="preserve"> essential skill</w:t>
      </w:r>
      <w:r w:rsidR="00892D05">
        <w:t>s</w:t>
      </w:r>
      <w:r w:rsidR="00435F1C">
        <w:fldChar w:fldCharType="begin"/>
      </w:r>
      <w:r w:rsidR="001328F1">
        <w:instrText xml:space="preserve"> ADDIN ZOTERO_ITEM CSL_CITATION {"citationID":"6Kvx87wB","properties":{"formattedCitation":"(6)","plainCitation":"(6)","noteIndex":0},"citationItems":[{"id":7300,"uris":["http://zotero.org/users/6495881/items/RWNZVVGI"],"uri":["http://zotero.org/users/6495881/items/RWNZVVGI"],"itemData":{"id":7300,"type":"article-journal","abstract":"Objectives Effective and efficient communication is crucial in healthcare. Written communication remains the most prevalent form of communication between specialised and primary care. We aimed at reviewing the literature on the quality of written communication, the impact of communication inefficiencies and recommendations to improve written communication in healthcare. Design Narrative literature review. Methods A search was carried out on the databases PubMed, Web of Science and The Cochrane Library by means of the (MeSH)terms ‘communication’, ‘primary health care’, ‘correspondence’, ‘patient safety’, ‘patient handoff’ and ‘continuity of patient care’. Reviewers screened 4609 records and 462 full texts were checked according following inclusion criteria: (1) publication between January 1985 and March 2014, (2) availability as full text in English, (3) categorisation as original research, reviews, meta-analyses or letters to the editor. Results A total of 69 articles were included in this review. It was found that poor communication can lead to various negative outcomes: discontinuity of care, compromise of patient safety, patient dissatisfaction and inefficient use of valuable resources, both in unnecessary investigations and physician worktime as well as economic consequences. Conclusion There is room for improvement of both content and timeliness of written communication. The delineation of ownership of the communication process should be clear. Peer review, process indicators and follow-up tools are required to measure the impact of quality improvement initiatives. Communication between caregivers should feature more prominently in graduate and postgraduate training, to become engraved as an essential skill and quality characteristic of each caregiver.","container-title":"International Journal of Clinical Practice","DOI":"10.1111/ijcp.12686","ISSN":"1742-1241","issue":"11","language":"en","page":"1257-1267","source":"Wiley Online Library","title":"Communication in healthcare: a narrative review of the literature and practical recommendations","title-short":"Communication in healthcare","volume":"69","author":[{"family":"Vermeir","given":"P."},{"family":"Vandijck","given":"D."},{"family":"Degroote","given":"S."},{"family":"Peleman","given":"R."},{"family":"Verhaeghe","given":"R."},{"family":"Mortier","given":"E."},{"family":"Hallaert","given":"G."},{"family":"Daele","given":"S. Van"},{"family":"Buylaert","given":"W."},{"family":"Vogelaers","given":"D."}],"issued":{"date-parts":[["2015"]]}}}],"schema":"https://github.com/citation-style-language/schema/raw/master/csl-citation.json"} </w:instrText>
      </w:r>
      <w:r w:rsidR="00435F1C">
        <w:fldChar w:fldCharType="separate"/>
      </w:r>
      <w:r w:rsidR="001328F1" w:rsidRPr="001328F1">
        <w:rPr>
          <w:rFonts w:ascii="Calibri" w:hAnsi="Calibri" w:cs="Calibri"/>
        </w:rPr>
        <w:t>(6)</w:t>
      </w:r>
      <w:r w:rsidR="00435F1C">
        <w:fldChar w:fldCharType="end"/>
      </w:r>
      <w:r w:rsidR="00A20453">
        <w:t xml:space="preserve"> – </w:t>
      </w:r>
      <w:r w:rsidR="00435F1C">
        <w:t>“entrustable professional activit</w:t>
      </w:r>
      <w:r w:rsidR="00892D05">
        <w:t>ies</w:t>
      </w:r>
      <w:r w:rsidR="00435F1C">
        <w:t xml:space="preserve">”. </w:t>
      </w:r>
      <w:r w:rsidR="005F2EFA">
        <w:t>W</w:t>
      </w:r>
      <w:r w:rsidR="00435F1C">
        <w:t xml:space="preserve">e propose evaluative judgement as a </w:t>
      </w:r>
      <w:r w:rsidR="005F2EFA">
        <w:t>framework</w:t>
      </w:r>
      <w:r w:rsidR="00435F1C">
        <w:t xml:space="preserve"> </w:t>
      </w:r>
      <w:r w:rsidR="005F2EFA">
        <w:t xml:space="preserve">for </w:t>
      </w:r>
      <w:r w:rsidR="00435F1C">
        <w:t>improving the quality of doctors’ letters. This involves the use of self-assessment, peer assessment, feedback, rubrics, and exemplars</w:t>
      </w:r>
      <w:r w:rsidR="00435F1C">
        <w:fldChar w:fldCharType="begin"/>
      </w:r>
      <w:r w:rsidR="001328F1">
        <w:instrText xml:space="preserve"> ADDIN ZOTERO_ITEM CSL_CITATION {"citationID":"WLHueKZT","properties":{"formattedCitation":"(22)","plainCitation":"(22)","noteIndex":0},"citationItems":[{"id":6953,"uris":["http://zotero.org/groups/2501078/items/5PIGNR5I"],"uri":["http://zotero.org/groups/2501078/items/5PIGNR5I"],"itemData":{"id":6953,"type":"article-journal","abstract":"Evaluative judgement is the capability to make decisions about the quality of work of oneself and others. In this paper, we propose that developing students’ evaluative judgement should be a goal of higher education, to enable students to improve their work and to meet their future learning needs: a necessary capability of graduates. We explore evaluative judgement within a discourse of pedagogy rather than primarily within an assessment discourse, as a way of encompassing and integrating a range of pedagogical practices. We trace the origins and development of the term ‘evaluative judgement’ to form a concise definition then recommend refinements to existing higher education practices of self-assessment, peer assessment, feedback, rubrics, and use of exemplars to contribute to the development of evaluative judgement. Considering pedagogical practices in light of evaluative judgement may lead to fruitful methods of engendering the skills learners require both within and beyond higher education settings.","container-title":"Higher Education","DOI":"10.1007/s10734-017-0220-3","ISSN":"1573-174X","issue":"3","journalAbbreviation":"High Educ","language":"en","page":"467-481","source":"Springer Link","title":"Developing evaluative judgement: enabling students to make decisions about the quality of work","title-short":"Developing evaluative judgement","volume":"76","author":[{"family":"Tai","given":"Joanna"},{"family":"Ajjawi","given":"Rola"},{"family":"Boud","given":"David"},{"family":"Dawson","given":"Phillip"},{"family":"Panadero","given":"Ernesto"}],"issued":{"date-parts":[["2018",9,1]]}}}],"schema":"https://github.com/citation-style-language/schema/raw/master/csl-citation.json"} </w:instrText>
      </w:r>
      <w:r w:rsidR="00435F1C">
        <w:fldChar w:fldCharType="separate"/>
      </w:r>
      <w:r w:rsidR="001328F1" w:rsidRPr="001328F1">
        <w:rPr>
          <w:rFonts w:ascii="Calibri" w:hAnsi="Calibri" w:cs="Calibri"/>
        </w:rPr>
        <w:t>(22)</w:t>
      </w:r>
      <w:r w:rsidR="00435F1C">
        <w:fldChar w:fldCharType="end"/>
      </w:r>
      <w:r w:rsidR="00435F1C">
        <w:t xml:space="preserve"> and we </w:t>
      </w:r>
      <w:r w:rsidR="00AF02FB">
        <w:t xml:space="preserve">have </w:t>
      </w:r>
      <w:r w:rsidR="00435F1C">
        <w:t>outline</w:t>
      </w:r>
      <w:r w:rsidR="00AF02FB">
        <w:t>d</w:t>
      </w:r>
      <w:r w:rsidR="00435F1C">
        <w:t xml:space="preserve"> </w:t>
      </w:r>
      <w:r w:rsidR="00AF02FB">
        <w:t xml:space="preserve">above </w:t>
      </w:r>
      <w:r w:rsidR="00435F1C">
        <w:t>some suggestions that might contribute to these rubrics and exemplars. We also note that letter writing, by its nature, lends itself to teaching in an electronic environment such as a massive open online course (MOOC) or within a learning management system. Despite the role of MOOCs being unclear in medical education at this point</w:t>
      </w:r>
      <w:r w:rsidR="00435F1C">
        <w:fldChar w:fldCharType="begin"/>
      </w:r>
      <w:r w:rsidR="001328F1">
        <w:instrText xml:space="preserve"> ADDIN ZOTERO_ITEM CSL_CITATION {"citationID":"hmWPpKHh","properties":{"formattedCitation":"(23)","plainCitation":"(23)","noteIndex":0},"citationItems":[{"id":6963,"uris":["http://zotero.org/groups/2501078/items/4F8VL6I4"],"uri":["http://zotero.org/groups/2501078/items/4F8VL6I4"],"itemData":{"id":6963,"type":"article-journal","abstract":"Massive open online courses (MOOCs) are a novel mode of online learning. They are typically based on higher education courses and can attract a high number of learners, often in the thousands. They are distinct from on-campus education and deliver the learning objectives through a series of short videos, recommended readings and discussion fora, alongside automated assessments. Within medical education the role of MOOCs remains unclear, with recent proposals including continuing professional development, interprofessional education or integration into campus-based blended learning curricula. In this twelve tips article, we aim to provide a framework for readers to use when developing, delivering and evaluating a MOOC within medical education based on the literature and our own experience. Practical advice is provided on how to design the appropriate curriculum, engage with learners on the platform, select suitable assessments, and comprehensively evaluate the impact of your course.","container-title":"Medical Teacher","DOI":"10.1080/0142159X.2017.1322189","ISSN":"0142-159X","issue":"7","note":"publisher: Taylor &amp; Francis\n_eprint: https://doi.org/10.1080/0142159X.2017.1322189\nPMID: 28485629","page":"691-696","source":"Taylor and Francis+NEJM","title":"Twelve tips for developing and delivering a massive open online course in medical education","volume":"39","author":[{"family":"Pickering","given":"James D."},{"family":"Henningsohn","given":"Lars"},{"family":"DeRuiter","given":"Marco C."},{"family":"Jong","given":"Peter G. M.","dropping-particle":"de"},{"family":"Reinders","given":"Marlies E. J."}],"issued":{"date-parts":[["2017",7,3]]}}}],"schema":"https://github.com/citation-style-language/schema/raw/master/csl-citation.json"} </w:instrText>
      </w:r>
      <w:r w:rsidR="00435F1C">
        <w:fldChar w:fldCharType="separate"/>
      </w:r>
      <w:r w:rsidR="001328F1" w:rsidRPr="001328F1">
        <w:rPr>
          <w:rFonts w:ascii="Calibri" w:hAnsi="Calibri" w:cs="Calibri"/>
        </w:rPr>
        <w:t>(23)</w:t>
      </w:r>
      <w:r w:rsidR="00435F1C">
        <w:fldChar w:fldCharType="end"/>
      </w:r>
      <w:r w:rsidR="00435F1C">
        <w:t>, we believe that well-designed, educationally-sound, online learning activities could support evaluative judgement and improve letter writing practices by providing formative feedback.</w:t>
      </w:r>
    </w:p>
    <w:p w14:paraId="1A26C873" w14:textId="5FA9EF23" w:rsidR="00435F1C" w:rsidRPr="003C65DA" w:rsidRDefault="0060497B" w:rsidP="0060497B">
      <w:pPr>
        <w:pStyle w:val="Heading2"/>
      </w:pPr>
      <w:r>
        <w:t xml:space="preserve">Culture of </w:t>
      </w:r>
      <w:r w:rsidR="00435F1C" w:rsidRPr="003C65DA">
        <w:t>Autonomy</w:t>
      </w:r>
    </w:p>
    <w:p w14:paraId="5CE4A27E" w14:textId="312BCC27" w:rsidR="00435F1C" w:rsidRDefault="00E55093" w:rsidP="00435F1C">
      <w:r>
        <w:t>W</w:t>
      </w:r>
      <w:r w:rsidR="00052700">
        <w:t xml:space="preserve">e </w:t>
      </w:r>
      <w:r>
        <w:t xml:space="preserve">also </w:t>
      </w:r>
      <w:r w:rsidR="00052700">
        <w:t xml:space="preserve">note that education may prove futile if culture does not change. </w:t>
      </w:r>
      <w:r>
        <w:t xml:space="preserve">Medicine has a culture of </w:t>
      </w:r>
      <w:r w:rsidR="00435F1C">
        <w:t>autonomy</w:t>
      </w:r>
      <w:r w:rsidR="00435F1C">
        <w:fldChar w:fldCharType="begin"/>
      </w:r>
      <w:r w:rsidR="001328F1">
        <w:instrText xml:space="preserve"> ADDIN ZOTERO_ITEM CSL_CITATION {"citationID":"0tchuWBp","properties":{"formattedCitation":"(24,25)","plainCitation":"(24,25)","noteIndex":0},"citationItems":[{"id":216,"uris":["http://zotero.org/groups/2501078/items/BISFKDNZ"],"uri":["http://zotero.org/groups/2501078/items/BISFKDNZ"],"itemData":{"id":216,"type":"book","abstract":"xxi, 409 p. ; 22 cm; Includes bibliographical references","language":"eng","number-of-pages":"442","publisher":"New York : Dodd, Mead","source":"Internet Archive","title":"Profession of medicine : a study of the sociology of applied knowledge","title-short":"Profession of medicine","URL":"http://archive.org/details/professionofmedi0000frei","author":[{"family":"Freidson","given":"Eliot"}],"accessed":{"date-parts":[["2020",5,15]]},"issued":{"date-parts":[["1970"]]}}},{"id":217,"uris":["http://zotero.org/groups/2501078/items/J5LTLD9D"],"uri":["http://zotero.org/groups/2501078/items/J5LTLD9D"],"itemData":{"id":217,"type":"webpage","abstract":"Our medical systems are broken. Doctors are capable of extraordinary (and expensive) treatments, but they are losing their core focus: actually treating people. Doctor and writer Atul Gawande suggests we take a step back and look at new ways to do medicine -- with fewer cowboys and more pit crews.","language":"en","title":"How do we heal medicine?","URL":"https://www.ted.com/talks/atul_gawande_how_do_we_heal_medicine","author":[{"family":"Gawande","given":"Atul"}],"accessed":{"date-parts":[["2020",5,15]]},"issued":{"date-parts":[["2012",3]]}}}],"schema":"https://github.com/citation-style-language/schema/raw/master/csl-citation.json"} </w:instrText>
      </w:r>
      <w:r w:rsidR="00435F1C">
        <w:fldChar w:fldCharType="separate"/>
      </w:r>
      <w:r w:rsidR="001328F1" w:rsidRPr="001328F1">
        <w:rPr>
          <w:rFonts w:ascii="Calibri" w:hAnsi="Calibri" w:cs="Calibri"/>
        </w:rPr>
        <w:t>(24,25)</w:t>
      </w:r>
      <w:r w:rsidR="00435F1C">
        <w:fldChar w:fldCharType="end"/>
      </w:r>
      <w:r w:rsidR="00435F1C">
        <w:t xml:space="preserve">, and this culture may explain why some of us persist writing </w:t>
      </w:r>
      <w:r w:rsidR="002D3E5B">
        <w:t xml:space="preserve">long dual-purpose </w:t>
      </w:r>
      <w:r w:rsidR="00435F1C">
        <w:t xml:space="preserve">letters </w:t>
      </w:r>
      <w:r w:rsidR="002D3E5B">
        <w:t>that lack structure</w:t>
      </w:r>
      <w:r w:rsidR="00435F1C">
        <w:t>. We believe that patients and colleagues alike are the ones to suffer from this culture of autonomy</w:t>
      </w:r>
      <w:r w:rsidR="002D3E5B">
        <w:t xml:space="preserve"> –</w:t>
      </w:r>
      <w:r w:rsidR="00435F1C">
        <w:t xml:space="preserve"> </w:t>
      </w:r>
      <w:r>
        <w:t>p</w:t>
      </w:r>
      <w:r w:rsidR="00435F1C">
        <w:t xml:space="preserve">atients may experience harm because information might be missed leading to clinical errors or misjudgement; colleagues may feel disrespected by being forced to </w:t>
      </w:r>
      <w:r w:rsidR="00680A01">
        <w:t xml:space="preserve">drink large volumes of tainted water </w:t>
      </w:r>
      <w:r w:rsidR="00435F1C">
        <w:t>that fail</w:t>
      </w:r>
      <w:r w:rsidR="00680A01">
        <w:t>s</w:t>
      </w:r>
      <w:r w:rsidR="00435F1C">
        <w:t xml:space="preserve"> to make points precisely and accurately. In an era of increasing patient complexity, a team-based approach, not autonomy, is required. This approach, to paraphrase Gawande, requires fewer </w:t>
      </w:r>
      <w:r w:rsidR="00C54DCC">
        <w:t>“</w:t>
      </w:r>
      <w:r w:rsidR="00435F1C">
        <w:t>cowboys</w:t>
      </w:r>
      <w:r w:rsidR="00C54DCC">
        <w:t>”</w:t>
      </w:r>
      <w:r w:rsidR="00435F1C">
        <w:t xml:space="preserve"> writing </w:t>
      </w:r>
      <w:r w:rsidR="002D3E5B">
        <w:t xml:space="preserve">long, poorly-structured, </w:t>
      </w:r>
      <w:r w:rsidR="00435F1C">
        <w:t>dual</w:t>
      </w:r>
      <w:r w:rsidR="002D3E5B">
        <w:t>-</w:t>
      </w:r>
      <w:r w:rsidR="00435F1C">
        <w:t xml:space="preserve">purpose letters that serve the cowboys’ needs, and more pit crew members writing </w:t>
      </w:r>
      <w:r w:rsidR="002D3E5B">
        <w:t xml:space="preserve">short, well-structured, </w:t>
      </w:r>
      <w:r w:rsidR="00435F1C">
        <w:t>single-purpose letters serving the patient and teams’ needs</w:t>
      </w:r>
      <w:r w:rsidR="00435F1C">
        <w:fldChar w:fldCharType="begin"/>
      </w:r>
      <w:r w:rsidR="001328F1">
        <w:instrText xml:space="preserve"> ADDIN ZOTERO_ITEM CSL_CITATION {"citationID":"1E7samlU","properties":{"formattedCitation":"(25)","plainCitation":"(25)","noteIndex":0},"citationItems":[{"id":217,"uris":["http://zotero.org/groups/2501078/items/J5LTLD9D"],"uri":["http://zotero.org/groups/2501078/items/J5LTLD9D"],"itemData":{"id":217,"type":"webpage","abstract":"Our medical systems are broken. Doctors are capable of extraordinary (and expensive) treatments, but they are losing their core focus: actually treating people. Doctor and writer Atul Gawande suggests we take a step back and look at new ways to do medicine -- with fewer cowboys and more pit crews.","language":"en","title":"How do we heal medicine?","URL":"https://www.ted.com/talks/atul_gawande_how_do_we_heal_medicine","author":[{"family":"Gawande","given":"Atul"}],"accessed":{"date-parts":[["2020",5,15]]},"issued":{"date-parts":[["2012",3]]}}}],"schema":"https://github.com/citation-style-language/schema/raw/master/csl-citation.json"} </w:instrText>
      </w:r>
      <w:r w:rsidR="00435F1C">
        <w:fldChar w:fldCharType="separate"/>
      </w:r>
      <w:r w:rsidR="001328F1" w:rsidRPr="001328F1">
        <w:rPr>
          <w:rFonts w:ascii="Calibri" w:hAnsi="Calibri" w:cs="Calibri"/>
        </w:rPr>
        <w:t>(25)</w:t>
      </w:r>
      <w:r w:rsidR="00435F1C">
        <w:fldChar w:fldCharType="end"/>
      </w:r>
      <w:r w:rsidR="00435F1C">
        <w:t xml:space="preserve">.  </w:t>
      </w:r>
    </w:p>
    <w:bookmarkEnd w:id="1"/>
    <w:p w14:paraId="417A33CF" w14:textId="7D506642" w:rsidR="0067247B" w:rsidRDefault="00FB11C6" w:rsidP="0060497B">
      <w:pPr>
        <w:pStyle w:val="Heading2"/>
      </w:pPr>
      <w:r>
        <w:t>The future</w:t>
      </w:r>
    </w:p>
    <w:p w14:paraId="7AE860E5" w14:textId="5A369A01" w:rsidR="00A55129" w:rsidRDefault="007D4683" w:rsidP="00A55129">
      <w:r>
        <w:t xml:space="preserve">In summary, </w:t>
      </w:r>
      <w:r w:rsidR="00926255">
        <w:t>the format, content</w:t>
      </w:r>
      <w:r w:rsidR="00E05596">
        <w:t>,</w:t>
      </w:r>
      <w:r w:rsidR="00926255">
        <w:t xml:space="preserve"> and length of </w:t>
      </w:r>
      <w:r w:rsidR="00052700">
        <w:t>doctors’ letter</w:t>
      </w:r>
      <w:r>
        <w:t xml:space="preserve">s should be </w:t>
      </w:r>
      <w:r w:rsidR="00926255">
        <w:t xml:space="preserve">evidence-based and </w:t>
      </w:r>
      <w:r>
        <w:t>tailored to a time-pressured audience</w:t>
      </w:r>
      <w:r w:rsidR="00926255">
        <w:t>.</w:t>
      </w:r>
      <w:r w:rsidR="001F1CC4">
        <w:t xml:space="preserve"> </w:t>
      </w:r>
      <w:r w:rsidR="00926255">
        <w:t>Good l</w:t>
      </w:r>
      <w:r w:rsidR="001F1CC4">
        <w:t xml:space="preserve">etter writing </w:t>
      </w:r>
      <w:r w:rsidR="004B6F56">
        <w:t xml:space="preserve">is an underappreciated skill that deserves greater prominence in the medical curricula. </w:t>
      </w:r>
      <w:r w:rsidR="000160D2">
        <w:t>We</w:t>
      </w:r>
      <w:r w:rsidR="002C6492">
        <w:t xml:space="preserve"> </w:t>
      </w:r>
      <w:r w:rsidR="000160D2">
        <w:t xml:space="preserve">believe that </w:t>
      </w:r>
      <w:r>
        <w:t xml:space="preserve">the introduction of </w:t>
      </w:r>
      <w:r w:rsidR="000D59BE">
        <w:t>electronic medical records</w:t>
      </w:r>
      <w:r w:rsidR="00F97BD6">
        <w:t xml:space="preserve"> </w:t>
      </w:r>
      <w:r w:rsidR="002D3E5B">
        <w:t>might</w:t>
      </w:r>
      <w:r>
        <w:t xml:space="preserve"> </w:t>
      </w:r>
      <w:r w:rsidR="00BD1BB5">
        <w:t>facilitate audi</w:t>
      </w:r>
      <w:r w:rsidR="00BD15C2">
        <w:t>t</w:t>
      </w:r>
      <w:r w:rsidR="00BD1BB5">
        <w:t>, big data research, and the use of artificial intelligence to provide feedback to the writer</w:t>
      </w:r>
      <w:r w:rsidR="005B141A">
        <w:t xml:space="preserve">. Furthermore, </w:t>
      </w:r>
      <w:r w:rsidR="000160D2">
        <w:t>investment in e</w:t>
      </w:r>
      <w:r>
        <w:t>-</w:t>
      </w:r>
      <w:r w:rsidR="000160D2">
        <w:t xml:space="preserve">learning, medical education and translational research will play a role in developing methods for improving the standard of </w:t>
      </w:r>
      <w:r w:rsidR="00052700">
        <w:t>doctors’ letter</w:t>
      </w:r>
      <w:r w:rsidR="000160D2">
        <w:t xml:space="preserve"> writing in a cost-effective manner</w:t>
      </w:r>
      <w:r w:rsidR="004B6F56">
        <w:t xml:space="preserve"> so that the next generation of writers</w:t>
      </w:r>
      <w:r w:rsidR="000F5FE8">
        <w:t xml:space="preserve">, </w:t>
      </w:r>
      <w:r w:rsidR="004B6F56">
        <w:t>readers</w:t>
      </w:r>
      <w:r w:rsidR="000F5FE8">
        <w:t>,</w:t>
      </w:r>
      <w:r w:rsidR="004B6F56">
        <w:t xml:space="preserve"> </w:t>
      </w:r>
      <w:r w:rsidR="000F5FE8">
        <w:t xml:space="preserve">and patients </w:t>
      </w:r>
      <w:r w:rsidR="004B6F56">
        <w:t>might benefit</w:t>
      </w:r>
      <w:r w:rsidR="00C200F7">
        <w:t xml:space="preserve"> from rivers of living water</w:t>
      </w:r>
      <w:r w:rsidR="00605E2D">
        <w:t xml:space="preserve"> that bring health and vitality</w:t>
      </w:r>
      <w:r w:rsidR="000160D2">
        <w:t>.</w:t>
      </w:r>
      <w:r>
        <w:t xml:space="preserve"> </w:t>
      </w:r>
    </w:p>
    <w:p w14:paraId="683EBC79" w14:textId="77777777" w:rsidR="00E05596" w:rsidRDefault="00E05596" w:rsidP="00A55129"/>
    <w:p w14:paraId="0980C1DA" w14:textId="77777777" w:rsidR="00E05596" w:rsidRDefault="004E0832" w:rsidP="00E05596">
      <w:pPr>
        <w:pStyle w:val="Heading2"/>
      </w:pPr>
      <w:r>
        <w:t>Acknowledgements</w:t>
      </w:r>
    </w:p>
    <w:p w14:paraId="6FD86FC3" w14:textId="402C95EF" w:rsidR="004E0832" w:rsidRDefault="004E0832" w:rsidP="00A55129">
      <w:r>
        <w:t>We wish to thank Dr Penny Gaskell, General Practice Liaison Officer</w:t>
      </w:r>
      <w:r w:rsidR="00E5717A">
        <w:t>, Eastern Health,</w:t>
      </w:r>
      <w:r>
        <w:t xml:space="preserve"> for reviewing the manuscript. We also wish to thank Michele Gaca, Chief Librarian, Austin Health for reviewing the manuscript and suggesting it be </w:t>
      </w:r>
      <w:r w:rsidR="00680A01">
        <w:t>submitted to</w:t>
      </w:r>
      <w:r>
        <w:t xml:space="preserve"> MJA Insight.</w:t>
      </w:r>
    </w:p>
    <w:p w14:paraId="6977F222" w14:textId="31D9881B" w:rsidR="004E0832" w:rsidRPr="00025746" w:rsidRDefault="004E0832" w:rsidP="00A55129">
      <w:pPr>
        <w:rPr>
          <w:b/>
          <w:bCs/>
        </w:rPr>
      </w:pPr>
      <w:r w:rsidRPr="00025746">
        <w:rPr>
          <w:b/>
          <w:bCs/>
        </w:rPr>
        <w:t xml:space="preserve">Dr Andrew </w:t>
      </w:r>
      <w:r w:rsidR="00EA0F7E" w:rsidRPr="00025746">
        <w:rPr>
          <w:b/>
          <w:bCs/>
        </w:rPr>
        <w:t xml:space="preserve">Yanqi </w:t>
      </w:r>
      <w:r w:rsidRPr="00025746">
        <w:rPr>
          <w:b/>
          <w:bCs/>
        </w:rPr>
        <w:t>Huang is a</w:t>
      </w:r>
      <w:r w:rsidR="009D6BA5">
        <w:rPr>
          <w:b/>
          <w:bCs/>
        </w:rPr>
        <w:t xml:space="preserve">n </w:t>
      </w:r>
      <w:r w:rsidRPr="00025746">
        <w:rPr>
          <w:b/>
          <w:bCs/>
        </w:rPr>
        <w:t>Anaesthetist and Specialist Pain Medicine Physician working at Austin Health and Eastern Health, and is a PhD candidate in the Department of Medical Education at the University of Melbourne.</w:t>
      </w:r>
    </w:p>
    <w:p w14:paraId="60C294E6" w14:textId="2387AAEC" w:rsidR="004E0832" w:rsidRPr="00025746" w:rsidRDefault="004E0832" w:rsidP="00A55129">
      <w:pPr>
        <w:rPr>
          <w:b/>
          <w:bCs/>
        </w:rPr>
      </w:pPr>
      <w:r w:rsidRPr="00025746">
        <w:rPr>
          <w:b/>
          <w:bCs/>
        </w:rPr>
        <w:lastRenderedPageBreak/>
        <w:t xml:space="preserve">Dr Ferghal </w:t>
      </w:r>
      <w:r w:rsidR="008A78D0" w:rsidRPr="00025746">
        <w:rPr>
          <w:b/>
          <w:bCs/>
        </w:rPr>
        <w:t xml:space="preserve">Timothy </w:t>
      </w:r>
      <w:r w:rsidRPr="00025746">
        <w:rPr>
          <w:b/>
          <w:bCs/>
        </w:rPr>
        <w:t xml:space="preserve">Armstrong is an Addiction Medicine </w:t>
      </w:r>
      <w:r w:rsidR="00704C3C">
        <w:rPr>
          <w:b/>
          <w:bCs/>
        </w:rPr>
        <w:t>Specialist</w:t>
      </w:r>
      <w:r w:rsidR="00704C3C" w:rsidRPr="00025746">
        <w:rPr>
          <w:b/>
          <w:bCs/>
        </w:rPr>
        <w:t xml:space="preserve"> </w:t>
      </w:r>
      <w:r w:rsidRPr="00025746">
        <w:rPr>
          <w:b/>
          <w:bCs/>
        </w:rPr>
        <w:t>and General Practitioner who is about to commence Pain Medicine training.</w:t>
      </w:r>
    </w:p>
    <w:p w14:paraId="6ACF8415" w14:textId="717C0EE4" w:rsidR="004E0832" w:rsidRPr="00025746" w:rsidRDefault="004E0832" w:rsidP="00A55129">
      <w:pPr>
        <w:rPr>
          <w:b/>
          <w:bCs/>
        </w:rPr>
      </w:pPr>
      <w:r w:rsidRPr="00025746">
        <w:rPr>
          <w:b/>
          <w:bCs/>
        </w:rPr>
        <w:t xml:space="preserve">Peter Mellow is a former </w:t>
      </w:r>
      <w:r w:rsidR="00F00B0D">
        <w:rPr>
          <w:b/>
          <w:bCs/>
        </w:rPr>
        <w:t xml:space="preserve">University </w:t>
      </w:r>
      <w:r w:rsidRPr="00025746">
        <w:rPr>
          <w:b/>
          <w:bCs/>
        </w:rPr>
        <w:t>academic</w:t>
      </w:r>
      <w:r w:rsidR="00F00B0D">
        <w:rPr>
          <w:b/>
          <w:bCs/>
        </w:rPr>
        <w:t xml:space="preserve"> of 30 years</w:t>
      </w:r>
      <w:r w:rsidR="009C1E6B">
        <w:rPr>
          <w:b/>
          <w:bCs/>
        </w:rPr>
        <w:t>,</w:t>
      </w:r>
      <w:r w:rsidRPr="00025746">
        <w:rPr>
          <w:b/>
          <w:bCs/>
        </w:rPr>
        <w:t xml:space="preserve"> who is now</w:t>
      </w:r>
      <w:r w:rsidR="009C1E6B" w:rsidRPr="00025746">
        <w:rPr>
          <w:b/>
          <w:bCs/>
        </w:rPr>
        <w:t xml:space="preserve"> </w:t>
      </w:r>
      <w:r w:rsidRPr="00025746">
        <w:rPr>
          <w:b/>
          <w:bCs/>
        </w:rPr>
        <w:t xml:space="preserve">Director of </w:t>
      </w:r>
      <w:r w:rsidR="00F00B0D">
        <w:rPr>
          <w:b/>
          <w:bCs/>
        </w:rPr>
        <w:t>Learning and Teaching</w:t>
      </w:r>
      <w:r w:rsidRPr="00025746">
        <w:rPr>
          <w:b/>
          <w:bCs/>
        </w:rPr>
        <w:t xml:space="preserve"> at Eastern Health.</w:t>
      </w:r>
    </w:p>
    <w:p w14:paraId="4ACD7E3F" w14:textId="487110BA" w:rsidR="00F5073D" w:rsidRDefault="00F5073D" w:rsidP="00A55129"/>
    <w:tbl>
      <w:tblPr>
        <w:tblStyle w:val="TableGrid"/>
        <w:tblW w:w="0" w:type="auto"/>
        <w:tblLook w:val="04A0" w:firstRow="1" w:lastRow="0" w:firstColumn="1" w:lastColumn="0" w:noHBand="0" w:noVBand="1"/>
      </w:tblPr>
      <w:tblGrid>
        <w:gridCol w:w="9016"/>
      </w:tblGrid>
      <w:tr w:rsidR="00F5073D" w14:paraId="1EC5CE66" w14:textId="77777777" w:rsidTr="000B29E9">
        <w:tc>
          <w:tcPr>
            <w:tcW w:w="9016" w:type="dxa"/>
          </w:tcPr>
          <w:p w14:paraId="6D237A99" w14:textId="77777777" w:rsidR="00F5073D" w:rsidRDefault="00F5073D" w:rsidP="000B29E9">
            <w:pPr>
              <w:pStyle w:val="NoSpacing"/>
            </w:pPr>
            <w:r>
              <w:t>Box – Letter template</w:t>
            </w:r>
          </w:p>
          <w:p w14:paraId="0523244A" w14:textId="77777777" w:rsidR="00F5073D" w:rsidRDefault="00F5073D" w:rsidP="000B29E9">
            <w:pPr>
              <w:pStyle w:val="NoSpacing"/>
            </w:pPr>
          </w:p>
          <w:p w14:paraId="3033E328" w14:textId="77777777" w:rsidR="00F5073D" w:rsidRDefault="00F5073D" w:rsidP="000B29E9">
            <w:pPr>
              <w:pStyle w:val="NoSpacing"/>
            </w:pPr>
            <w:r>
              <w:t xml:space="preserve">Formulation </w:t>
            </w:r>
            <w:r w:rsidRPr="00601D35">
              <w:t>(“a comprehensive synthesis of the multiple elements that led to a patient presenting at clinic or hospital with a problem”(14)</w:t>
            </w:r>
            <w:r>
              <w:t>):</w:t>
            </w:r>
          </w:p>
          <w:p w14:paraId="519E38D1" w14:textId="400139E4" w:rsidR="00F5073D" w:rsidRDefault="00F5073D" w:rsidP="00F5073D">
            <w:pPr>
              <w:pStyle w:val="NoSpacing"/>
              <w:numPr>
                <w:ilvl w:val="0"/>
                <w:numId w:val="4"/>
              </w:numPr>
            </w:pPr>
            <w:r>
              <w:t xml:space="preserve">A short summary of </w:t>
            </w:r>
            <w:r w:rsidRPr="00F92430">
              <w:t>relevant history, examination, investigation</w:t>
            </w:r>
            <w:r w:rsidR="00025746">
              <w:t>s,</w:t>
            </w:r>
            <w:r w:rsidRPr="00F92430">
              <w:t xml:space="preserve"> and previous treatments</w:t>
            </w:r>
            <w:r>
              <w:t xml:space="preserve"> relating to the presenting complaint.</w:t>
            </w:r>
          </w:p>
          <w:p w14:paraId="3DF6881C" w14:textId="77777777" w:rsidR="00F5073D" w:rsidRDefault="00F5073D" w:rsidP="00F5073D">
            <w:pPr>
              <w:pStyle w:val="NoSpacing"/>
              <w:numPr>
                <w:ilvl w:val="0"/>
                <w:numId w:val="4"/>
              </w:numPr>
            </w:pPr>
            <w:r>
              <w:t>A summary of other medical comorbidities (including previous major surgery).</w:t>
            </w:r>
          </w:p>
          <w:p w14:paraId="35D08060" w14:textId="77777777" w:rsidR="00F5073D" w:rsidRDefault="00F5073D" w:rsidP="00F5073D">
            <w:pPr>
              <w:pStyle w:val="NoSpacing"/>
              <w:numPr>
                <w:ilvl w:val="0"/>
                <w:numId w:val="4"/>
              </w:numPr>
            </w:pPr>
            <w:r>
              <w:t>A summary of mental health diagnoses or absence of such diagnoses.</w:t>
            </w:r>
          </w:p>
          <w:p w14:paraId="1AD9B36D" w14:textId="77777777" w:rsidR="00F5073D" w:rsidRDefault="00F5073D" w:rsidP="00F5073D">
            <w:pPr>
              <w:pStyle w:val="NoSpacing"/>
              <w:numPr>
                <w:ilvl w:val="0"/>
                <w:numId w:val="4"/>
              </w:numPr>
            </w:pPr>
            <w:r>
              <w:t>A statement on polypharmacy (if present) and/or a list of medications.</w:t>
            </w:r>
          </w:p>
          <w:p w14:paraId="2CC51A31" w14:textId="77777777" w:rsidR="00F5073D" w:rsidRDefault="00F5073D" w:rsidP="00F5073D">
            <w:pPr>
              <w:pStyle w:val="NoSpacing"/>
              <w:numPr>
                <w:ilvl w:val="0"/>
                <w:numId w:val="4"/>
              </w:numPr>
            </w:pPr>
            <w:r>
              <w:t>A statement on metabolic health with preference to use of the terminology waist-to-height ratio.</w:t>
            </w:r>
          </w:p>
          <w:p w14:paraId="208A891E" w14:textId="77777777" w:rsidR="00F5073D" w:rsidRDefault="00F5073D" w:rsidP="00F5073D">
            <w:pPr>
              <w:pStyle w:val="NoSpacing"/>
              <w:numPr>
                <w:ilvl w:val="0"/>
                <w:numId w:val="4"/>
              </w:numPr>
            </w:pPr>
            <w:r>
              <w:t>A summary of psychosocial factors that might contribute to the presentation or be protective.</w:t>
            </w:r>
          </w:p>
          <w:p w14:paraId="7DBB0A07" w14:textId="77777777" w:rsidR="00F5073D" w:rsidRDefault="00F5073D" w:rsidP="000B29E9">
            <w:pPr>
              <w:pStyle w:val="NoSpacing"/>
            </w:pPr>
          </w:p>
          <w:p w14:paraId="0B7CAF59" w14:textId="77777777" w:rsidR="00F5073D" w:rsidRDefault="00F5073D" w:rsidP="000B29E9">
            <w:pPr>
              <w:pStyle w:val="NoSpacing"/>
            </w:pPr>
            <w:r>
              <w:t>Expectation:</w:t>
            </w:r>
          </w:p>
          <w:p w14:paraId="495FA619" w14:textId="4C213646" w:rsidR="00F5073D" w:rsidRDefault="00F5073D" w:rsidP="00F5073D">
            <w:pPr>
              <w:pStyle w:val="NoSpacing"/>
              <w:numPr>
                <w:ilvl w:val="0"/>
                <w:numId w:val="5"/>
              </w:numPr>
            </w:pPr>
            <w:r>
              <w:t>A short summary of the patient’s goals or expectations</w:t>
            </w:r>
            <w:r w:rsidRPr="00601D35">
              <w:t xml:space="preserve"> to emphasise a patient-centred approach and to give the patient a “voice” in the letter</w:t>
            </w:r>
            <w:r w:rsidR="00A20453">
              <w:t>.</w:t>
            </w:r>
          </w:p>
          <w:p w14:paraId="7573F2D5" w14:textId="77777777" w:rsidR="00F5073D" w:rsidRDefault="00F5073D" w:rsidP="000B29E9">
            <w:pPr>
              <w:pStyle w:val="NoSpacing"/>
            </w:pPr>
          </w:p>
          <w:p w14:paraId="7C37C8D7" w14:textId="77777777" w:rsidR="00F5073D" w:rsidRDefault="00F5073D" w:rsidP="000B29E9">
            <w:pPr>
              <w:pStyle w:val="NoSpacing"/>
            </w:pPr>
            <w:r>
              <w:t>Management plan:</w:t>
            </w:r>
          </w:p>
          <w:p w14:paraId="0320DCDD" w14:textId="385FBEA3" w:rsidR="00F5073D" w:rsidRDefault="00F5073D" w:rsidP="00F5073D">
            <w:pPr>
              <w:pStyle w:val="ListParagraph"/>
              <w:numPr>
                <w:ilvl w:val="0"/>
                <w:numId w:val="5"/>
              </w:numPr>
            </w:pPr>
            <w:r>
              <w:t xml:space="preserve">A numbered and unambiguous </w:t>
            </w:r>
            <w:r w:rsidRPr="00601D35">
              <w:t>summar</w:t>
            </w:r>
            <w:r w:rsidR="00A20453">
              <w:t>ised</w:t>
            </w:r>
            <w:r>
              <w:t xml:space="preserve"> list of recommendations that </w:t>
            </w:r>
            <w:r w:rsidR="00A20453">
              <w:t>specify</w:t>
            </w:r>
            <w:r>
              <w:t xml:space="preserve"> who is responsible for follow-up of each recommendation</w:t>
            </w:r>
            <w:r w:rsidR="00A20453">
              <w:t>,</w:t>
            </w:r>
            <w:r>
              <w:t xml:space="preserve"> and </w:t>
            </w:r>
            <w:r w:rsidRPr="00601D35">
              <w:t>that outline contingency plans in the event of deterioration</w:t>
            </w:r>
            <w:r w:rsidR="00A20453">
              <w:t>.</w:t>
            </w:r>
          </w:p>
        </w:tc>
      </w:tr>
    </w:tbl>
    <w:p w14:paraId="349B813E" w14:textId="77777777" w:rsidR="00F5073D" w:rsidRDefault="00F5073D" w:rsidP="00A55129"/>
    <w:p w14:paraId="51CF3B60" w14:textId="432093DD" w:rsidR="00A02925" w:rsidRDefault="00A02925" w:rsidP="00A02925">
      <w:pPr>
        <w:pStyle w:val="Heading2"/>
      </w:pPr>
      <w:r>
        <w:t>References</w:t>
      </w:r>
    </w:p>
    <w:p w14:paraId="6614F1C3" w14:textId="77777777" w:rsidR="00DA324A" w:rsidRPr="00DA324A" w:rsidRDefault="00A02925" w:rsidP="00DA324A">
      <w:pPr>
        <w:pStyle w:val="Bibliography"/>
        <w:rPr>
          <w:rFonts w:ascii="Calibri" w:hAnsi="Calibri" w:cs="Calibri"/>
        </w:rPr>
      </w:pPr>
      <w:r>
        <w:fldChar w:fldCharType="begin"/>
      </w:r>
      <w:r w:rsidR="00E14491">
        <w:instrText xml:space="preserve"> ADDIN ZOTERO_BIBL {"uncited":[],"omitted":[],"custom":[]} CSL_BIBLIOGRAPHY </w:instrText>
      </w:r>
      <w:r>
        <w:fldChar w:fldCharType="separate"/>
      </w:r>
      <w:r w:rsidR="00DA324A" w:rsidRPr="00DA324A">
        <w:rPr>
          <w:rFonts w:ascii="Calibri" w:hAnsi="Calibri" w:cs="Calibri"/>
        </w:rPr>
        <w:t xml:space="preserve">1. </w:t>
      </w:r>
      <w:r w:rsidR="00DA324A" w:rsidRPr="00DA324A">
        <w:rPr>
          <w:rFonts w:ascii="Calibri" w:hAnsi="Calibri" w:cs="Calibri"/>
        </w:rPr>
        <w:tab/>
        <w:t>World Health Organisation. World Patient Safety Day [Internet]. WHO. World Health Organization; 2020 [cited 2020 Oct 8]. Available from: http://www.who.int/patientsafety/world-patient-safety-day/en/</w:t>
      </w:r>
    </w:p>
    <w:p w14:paraId="4C8BBEEC" w14:textId="77777777" w:rsidR="00DA324A" w:rsidRPr="00DA324A" w:rsidRDefault="00DA324A" w:rsidP="00DA324A">
      <w:pPr>
        <w:pStyle w:val="Bibliography"/>
        <w:rPr>
          <w:rFonts w:ascii="Calibri" w:hAnsi="Calibri" w:cs="Calibri"/>
        </w:rPr>
      </w:pPr>
      <w:r w:rsidRPr="00DA324A">
        <w:rPr>
          <w:rFonts w:ascii="Calibri" w:hAnsi="Calibri" w:cs="Calibri"/>
        </w:rPr>
        <w:t xml:space="preserve">2. </w:t>
      </w:r>
      <w:r w:rsidRPr="00DA324A">
        <w:rPr>
          <w:rFonts w:ascii="Calibri" w:hAnsi="Calibri" w:cs="Calibri"/>
        </w:rPr>
        <w:tab/>
        <w:t>Australian Commission on Safety and Quality in Health Care. Communicating for Safety Standard [Internet]. [cited 2020 Oct 8]. Available from: https://www.safetyandquality.gov.au/standards/nsqhs-standards/communicating-safety-standard</w:t>
      </w:r>
    </w:p>
    <w:p w14:paraId="282851F5" w14:textId="77777777" w:rsidR="00DA324A" w:rsidRPr="00DA324A" w:rsidRDefault="00DA324A" w:rsidP="00DA324A">
      <w:pPr>
        <w:pStyle w:val="Bibliography"/>
        <w:rPr>
          <w:rFonts w:ascii="Calibri" w:hAnsi="Calibri" w:cs="Calibri"/>
        </w:rPr>
      </w:pPr>
      <w:r w:rsidRPr="00DA324A">
        <w:rPr>
          <w:rFonts w:ascii="Calibri" w:hAnsi="Calibri" w:cs="Calibri"/>
        </w:rPr>
        <w:t xml:space="preserve">3. </w:t>
      </w:r>
      <w:r w:rsidRPr="00DA324A">
        <w:rPr>
          <w:rFonts w:ascii="Calibri" w:hAnsi="Calibri" w:cs="Calibri"/>
        </w:rPr>
        <w:tab/>
        <w:t xml:space="preserve">Tattersall MHN, Butow PN, Brown JE, Thompson JF. Improving doctors’ letters. Med J Aust. 2002;177:5. </w:t>
      </w:r>
    </w:p>
    <w:p w14:paraId="2DDCDEE6" w14:textId="77777777" w:rsidR="00DA324A" w:rsidRPr="00DA324A" w:rsidRDefault="00DA324A" w:rsidP="00DA324A">
      <w:pPr>
        <w:pStyle w:val="Bibliography"/>
        <w:rPr>
          <w:rFonts w:ascii="Calibri" w:hAnsi="Calibri" w:cs="Calibri"/>
        </w:rPr>
      </w:pPr>
      <w:r w:rsidRPr="00DA324A">
        <w:rPr>
          <w:rFonts w:ascii="Calibri" w:hAnsi="Calibri" w:cs="Calibri"/>
        </w:rPr>
        <w:t xml:space="preserve">4. </w:t>
      </w:r>
      <w:r w:rsidRPr="00DA324A">
        <w:rPr>
          <w:rFonts w:ascii="Calibri" w:hAnsi="Calibri" w:cs="Calibri"/>
        </w:rPr>
        <w:tab/>
        <w:t xml:space="preserve">Rash AH, Sheldon R, Donald M, Eronmwon C, Kuriachan VP. Valued Components of a Consultant Letter from Referring Physicians’ Perspective: a Systematic Literature Synthesis. J Gen Intern Med. 2018 Jun 1;33(6):948–54. </w:t>
      </w:r>
    </w:p>
    <w:p w14:paraId="0D5FEE8E" w14:textId="77777777" w:rsidR="00DA324A" w:rsidRPr="00DA324A" w:rsidRDefault="00DA324A" w:rsidP="00DA324A">
      <w:pPr>
        <w:pStyle w:val="Bibliography"/>
        <w:rPr>
          <w:rFonts w:ascii="Calibri" w:hAnsi="Calibri" w:cs="Calibri"/>
        </w:rPr>
      </w:pPr>
      <w:r w:rsidRPr="00DA324A">
        <w:rPr>
          <w:rFonts w:ascii="Calibri" w:hAnsi="Calibri" w:cs="Calibri"/>
        </w:rPr>
        <w:t xml:space="preserve">5. </w:t>
      </w:r>
      <w:r w:rsidRPr="00DA324A">
        <w:rPr>
          <w:rFonts w:ascii="Calibri" w:hAnsi="Calibri" w:cs="Calibri"/>
        </w:rPr>
        <w:tab/>
        <w:t>Sweller J. Cognitive Load Theory. In: Mestre JP, Ross BH, editors. Psychology of Learning and Motivation [Internet]. Academic Press; 2011 [cited 2020 Jun 18]. p. 37–76. Available from: http://www.sciencedirect.com/science/article/pii/B9780123876911000028</w:t>
      </w:r>
    </w:p>
    <w:p w14:paraId="344F7EA0" w14:textId="77777777" w:rsidR="00DA324A" w:rsidRPr="00DA324A" w:rsidRDefault="00DA324A" w:rsidP="00DA324A">
      <w:pPr>
        <w:pStyle w:val="Bibliography"/>
        <w:rPr>
          <w:rFonts w:ascii="Calibri" w:hAnsi="Calibri" w:cs="Calibri"/>
        </w:rPr>
      </w:pPr>
      <w:r w:rsidRPr="00DA324A">
        <w:rPr>
          <w:rFonts w:ascii="Calibri" w:hAnsi="Calibri" w:cs="Calibri"/>
        </w:rPr>
        <w:lastRenderedPageBreak/>
        <w:t xml:space="preserve">6. </w:t>
      </w:r>
      <w:r w:rsidRPr="00DA324A">
        <w:rPr>
          <w:rFonts w:ascii="Calibri" w:hAnsi="Calibri" w:cs="Calibri"/>
        </w:rPr>
        <w:tab/>
        <w:t xml:space="preserve">Vermeir P, Vandijck D, Degroote S, Peleman R, Verhaeghe R, Mortier E, et al. Communication in healthcare: a narrative review of the literature and practical recommendations. Int J Clin Pract. 2015;69(11):1257–67. </w:t>
      </w:r>
    </w:p>
    <w:p w14:paraId="68B98D13" w14:textId="77777777" w:rsidR="00DA324A" w:rsidRPr="00DA324A" w:rsidRDefault="00DA324A" w:rsidP="00DA324A">
      <w:pPr>
        <w:pStyle w:val="Bibliography"/>
        <w:rPr>
          <w:rFonts w:ascii="Calibri" w:hAnsi="Calibri" w:cs="Calibri"/>
        </w:rPr>
      </w:pPr>
      <w:r w:rsidRPr="00DA324A">
        <w:rPr>
          <w:rFonts w:ascii="Calibri" w:hAnsi="Calibri" w:cs="Calibri"/>
        </w:rPr>
        <w:t xml:space="preserve">7. </w:t>
      </w:r>
      <w:r w:rsidRPr="00DA324A">
        <w:rPr>
          <w:rFonts w:ascii="Calibri" w:hAnsi="Calibri" w:cs="Calibri"/>
        </w:rPr>
        <w:tab/>
        <w:t xml:space="preserve">Russell C, Sandu V, Moroz I, Tran C, Keely E, Liddy C. Key Components of Traditional Consultation Letters and Their Relevance to Electronic Consultation Replies: A Systematic Review. Telemed E-Health. 2019 Oct 9;tmj.2019.0161. </w:t>
      </w:r>
    </w:p>
    <w:p w14:paraId="316600A6" w14:textId="77777777" w:rsidR="00DA324A" w:rsidRPr="00DA324A" w:rsidRDefault="00DA324A" w:rsidP="00DA324A">
      <w:pPr>
        <w:pStyle w:val="Bibliography"/>
        <w:rPr>
          <w:rFonts w:ascii="Calibri" w:hAnsi="Calibri" w:cs="Calibri"/>
        </w:rPr>
      </w:pPr>
      <w:r w:rsidRPr="00DA324A">
        <w:rPr>
          <w:rFonts w:ascii="Calibri" w:hAnsi="Calibri" w:cs="Calibri"/>
        </w:rPr>
        <w:t xml:space="preserve">8. </w:t>
      </w:r>
      <w:r w:rsidRPr="00DA324A">
        <w:rPr>
          <w:rFonts w:ascii="Calibri" w:hAnsi="Calibri" w:cs="Calibri"/>
        </w:rPr>
        <w:tab/>
        <w:t xml:space="preserve">Hannawa AF. “SACCIA Safe Communication”: Five core competencies for safe and high-quality care. J Patient Saf Risk Manag. 2018 Jun 1;23(3):99–107. </w:t>
      </w:r>
    </w:p>
    <w:p w14:paraId="3133A59D" w14:textId="77777777" w:rsidR="00DA324A" w:rsidRPr="00DA324A" w:rsidRDefault="00DA324A" w:rsidP="00DA324A">
      <w:pPr>
        <w:pStyle w:val="Bibliography"/>
        <w:rPr>
          <w:rFonts w:ascii="Calibri" w:hAnsi="Calibri" w:cs="Calibri"/>
        </w:rPr>
      </w:pPr>
      <w:r w:rsidRPr="00DA324A">
        <w:rPr>
          <w:rFonts w:ascii="Calibri" w:hAnsi="Calibri" w:cs="Calibri"/>
        </w:rPr>
        <w:t xml:space="preserve">9. </w:t>
      </w:r>
      <w:r w:rsidRPr="00DA324A">
        <w:rPr>
          <w:rFonts w:ascii="Calibri" w:hAnsi="Calibri" w:cs="Calibri"/>
        </w:rPr>
        <w:tab/>
        <w:t xml:space="preserve">Brysbaert M. How many words do we read per minute? A review and meta-analysis of reading rate. J Mem Lang. 2019 Dec 1;109:104047. </w:t>
      </w:r>
    </w:p>
    <w:p w14:paraId="2565528D" w14:textId="77777777" w:rsidR="00DA324A" w:rsidRPr="00DA324A" w:rsidRDefault="00DA324A" w:rsidP="00DA324A">
      <w:pPr>
        <w:pStyle w:val="Bibliography"/>
        <w:rPr>
          <w:rFonts w:ascii="Calibri" w:hAnsi="Calibri" w:cs="Calibri"/>
        </w:rPr>
      </w:pPr>
      <w:r w:rsidRPr="00DA324A">
        <w:rPr>
          <w:rFonts w:ascii="Calibri" w:hAnsi="Calibri" w:cs="Calibri"/>
        </w:rPr>
        <w:t xml:space="preserve">10. </w:t>
      </w:r>
      <w:r w:rsidRPr="00DA324A">
        <w:rPr>
          <w:rFonts w:ascii="Calibri" w:hAnsi="Calibri" w:cs="Calibri"/>
        </w:rPr>
        <w:tab/>
        <w:t xml:space="preserve">Rodger A. Improving doctors’ letters. Med J Aust. 2003;178(3):144–144. </w:t>
      </w:r>
    </w:p>
    <w:p w14:paraId="3B1CAEE2" w14:textId="77777777" w:rsidR="00DA324A" w:rsidRPr="00DA324A" w:rsidRDefault="00DA324A" w:rsidP="00DA324A">
      <w:pPr>
        <w:pStyle w:val="Bibliography"/>
        <w:rPr>
          <w:rFonts w:ascii="Calibri" w:hAnsi="Calibri" w:cs="Calibri"/>
        </w:rPr>
      </w:pPr>
      <w:r w:rsidRPr="00DA324A">
        <w:rPr>
          <w:rFonts w:ascii="Calibri" w:hAnsi="Calibri" w:cs="Calibri"/>
        </w:rPr>
        <w:t xml:space="preserve">11. </w:t>
      </w:r>
      <w:r w:rsidRPr="00DA324A">
        <w:rPr>
          <w:rFonts w:ascii="Calibri" w:hAnsi="Calibri" w:cs="Calibri"/>
        </w:rPr>
        <w:tab/>
        <w:t>Medicare Australia. Item 143 | Medicare Benefits Schedule [Internet]. 2019 [cited 2020 May 12]. Available from: http://www9.health.gov.au/mbs/fullDisplay.cfm?type=item&amp;q=143&amp;qt=item&amp;criteria=143</w:t>
      </w:r>
    </w:p>
    <w:p w14:paraId="566DEEC4" w14:textId="77777777" w:rsidR="00DA324A" w:rsidRPr="00DA324A" w:rsidRDefault="00DA324A" w:rsidP="00DA324A">
      <w:pPr>
        <w:pStyle w:val="Bibliography"/>
        <w:rPr>
          <w:rFonts w:ascii="Calibri" w:hAnsi="Calibri" w:cs="Calibri"/>
        </w:rPr>
      </w:pPr>
      <w:r w:rsidRPr="00DA324A">
        <w:rPr>
          <w:rFonts w:ascii="Calibri" w:hAnsi="Calibri" w:cs="Calibri"/>
        </w:rPr>
        <w:t xml:space="preserve">12. </w:t>
      </w:r>
      <w:r w:rsidRPr="00DA324A">
        <w:rPr>
          <w:rFonts w:ascii="Calibri" w:hAnsi="Calibri" w:cs="Calibri"/>
        </w:rPr>
        <w:tab/>
        <w:t>The Royal Australian and New Zealand College of Psychiatrists. The Royal Australian and New Zealand College of Psychiatrists (RANZCP) Referred Patient Assessment and Management Plan Guidelines [Internet]. 2009 [cited 2020 May 19]. Available from: https://www.ranzcp.org/files/resources/college_statements/practice_guidelines/referred_patient_assessment_and_management_guideli.aspx</w:t>
      </w:r>
    </w:p>
    <w:p w14:paraId="526DA6CD" w14:textId="77777777" w:rsidR="00DA324A" w:rsidRPr="00DA324A" w:rsidRDefault="00DA324A" w:rsidP="00DA324A">
      <w:pPr>
        <w:pStyle w:val="Bibliography"/>
        <w:rPr>
          <w:rFonts w:ascii="Calibri" w:hAnsi="Calibri" w:cs="Calibri"/>
        </w:rPr>
      </w:pPr>
      <w:r w:rsidRPr="00DA324A">
        <w:rPr>
          <w:rFonts w:ascii="Calibri" w:hAnsi="Calibri" w:cs="Calibri"/>
        </w:rPr>
        <w:t xml:space="preserve">13. </w:t>
      </w:r>
      <w:r w:rsidRPr="00DA324A">
        <w:rPr>
          <w:rFonts w:ascii="Calibri" w:hAnsi="Calibri" w:cs="Calibri"/>
        </w:rPr>
        <w:tab/>
        <w:t xml:space="preserve">Engel GL. The clinical application of the biopsychosocial model. Am J Psychiatry. 1980 May 1;137(5):535–44. </w:t>
      </w:r>
    </w:p>
    <w:p w14:paraId="53A4D8E5" w14:textId="77777777" w:rsidR="00DA324A" w:rsidRPr="00DA324A" w:rsidRDefault="00DA324A" w:rsidP="00DA324A">
      <w:pPr>
        <w:pStyle w:val="Bibliography"/>
        <w:rPr>
          <w:rFonts w:ascii="Calibri" w:hAnsi="Calibri" w:cs="Calibri"/>
        </w:rPr>
      </w:pPr>
      <w:r w:rsidRPr="00DA324A">
        <w:rPr>
          <w:rFonts w:ascii="Calibri" w:hAnsi="Calibri" w:cs="Calibri"/>
        </w:rPr>
        <w:t xml:space="preserve">14. </w:t>
      </w:r>
      <w:r w:rsidRPr="00DA324A">
        <w:rPr>
          <w:rFonts w:ascii="Calibri" w:hAnsi="Calibri" w:cs="Calibri"/>
        </w:rPr>
        <w:tab/>
        <w:t>Tsang KK, Fernandes SA, Ibeziako P. Principles of Biopsychosocial Formulation and Interventions in the Pediatric Medical Setting. In: Guerrero APS, Lee PC, Skokauskas N, editors. Pediatric Consultation-Liaison Psychiatry : A Global, Healthcare Systems-Focused, and Problem-Based Approach [Internet]. Cham: Springer International Publishing; 2018 [cited 2020 Jun 12]. p. 181–92. Available from: https://doi.org/10.1007/978-3-319-89488-1_10</w:t>
      </w:r>
    </w:p>
    <w:p w14:paraId="76219B89" w14:textId="77777777" w:rsidR="00DA324A" w:rsidRPr="00DA324A" w:rsidRDefault="00DA324A" w:rsidP="00DA324A">
      <w:pPr>
        <w:pStyle w:val="Bibliography"/>
        <w:rPr>
          <w:rFonts w:ascii="Calibri" w:hAnsi="Calibri" w:cs="Calibri"/>
        </w:rPr>
      </w:pPr>
      <w:r w:rsidRPr="00DA324A">
        <w:rPr>
          <w:rFonts w:ascii="Calibri" w:hAnsi="Calibri" w:cs="Calibri"/>
        </w:rPr>
        <w:t xml:space="preserve">15. </w:t>
      </w:r>
      <w:r w:rsidRPr="00DA324A">
        <w:rPr>
          <w:rFonts w:ascii="Calibri" w:hAnsi="Calibri" w:cs="Calibri"/>
        </w:rPr>
        <w:tab/>
        <w:t xml:space="preserve">Australian Government Department of Health. The Fifth National Mental Health and Suicide Prevention Plan. Canberra: Department of Health Canberra; 2017. </w:t>
      </w:r>
    </w:p>
    <w:p w14:paraId="0258C884" w14:textId="77777777" w:rsidR="00DA324A" w:rsidRPr="00DA324A" w:rsidRDefault="00DA324A" w:rsidP="00DA324A">
      <w:pPr>
        <w:pStyle w:val="Bibliography"/>
        <w:rPr>
          <w:rFonts w:ascii="Calibri" w:hAnsi="Calibri" w:cs="Calibri"/>
        </w:rPr>
      </w:pPr>
      <w:r w:rsidRPr="00DA324A">
        <w:rPr>
          <w:rFonts w:ascii="Calibri" w:hAnsi="Calibri" w:cs="Calibri"/>
        </w:rPr>
        <w:t xml:space="preserve">16. </w:t>
      </w:r>
      <w:r w:rsidRPr="00DA324A">
        <w:rPr>
          <w:rFonts w:ascii="Calibri" w:hAnsi="Calibri" w:cs="Calibri"/>
        </w:rPr>
        <w:tab/>
        <w:t>World Health Organization. WHO | Controlling the global obesity epidemic [Internet]. WHO. World Health Organization; 2013 [cited 2020 May 19]. Available from: https://www.who.int/nutrition/topics/obesity/en/</w:t>
      </w:r>
    </w:p>
    <w:p w14:paraId="2311193E" w14:textId="77777777" w:rsidR="00DA324A" w:rsidRPr="00DA324A" w:rsidRDefault="00DA324A" w:rsidP="00DA324A">
      <w:pPr>
        <w:pStyle w:val="Bibliography"/>
        <w:rPr>
          <w:rFonts w:ascii="Calibri" w:hAnsi="Calibri" w:cs="Calibri"/>
        </w:rPr>
      </w:pPr>
      <w:r w:rsidRPr="00DA324A">
        <w:rPr>
          <w:rFonts w:ascii="Calibri" w:hAnsi="Calibri" w:cs="Calibri"/>
        </w:rPr>
        <w:t xml:space="preserve">17. </w:t>
      </w:r>
      <w:r w:rsidRPr="00DA324A">
        <w:rPr>
          <w:rFonts w:ascii="Calibri" w:hAnsi="Calibri" w:cs="Calibri"/>
        </w:rPr>
        <w:tab/>
        <w:t>Guillot J, Maumus-Robert S, Bezin J. Polypharmacy: A general review of definitions, descriptions and determinants. Therapies [Internet]. 2019 Oct 28 [cited 2020 Jun 12]; Available from: http://www.sciencedirect.com/science/article/pii/S0040595719301507</w:t>
      </w:r>
    </w:p>
    <w:p w14:paraId="62021639" w14:textId="77777777" w:rsidR="00DA324A" w:rsidRPr="00DA324A" w:rsidRDefault="00DA324A" w:rsidP="00DA324A">
      <w:pPr>
        <w:pStyle w:val="Bibliography"/>
        <w:rPr>
          <w:rFonts w:ascii="Calibri" w:hAnsi="Calibri" w:cs="Calibri"/>
        </w:rPr>
      </w:pPr>
      <w:r w:rsidRPr="00DA324A">
        <w:rPr>
          <w:rFonts w:ascii="Calibri" w:hAnsi="Calibri" w:cs="Calibri"/>
        </w:rPr>
        <w:t xml:space="preserve">18. </w:t>
      </w:r>
      <w:r w:rsidRPr="00DA324A">
        <w:rPr>
          <w:rFonts w:ascii="Calibri" w:hAnsi="Calibri" w:cs="Calibri"/>
        </w:rPr>
        <w:tab/>
        <w:t xml:space="preserve">Ashwell M, Gibson S. Waist-to-height ratio as an indicator of ‘early health risk’: simpler and more predictive than using a ‘matrix’ based on BMI and waist circumference. BMJ Open. 2016 Mar 1;6(3):e010159. </w:t>
      </w:r>
    </w:p>
    <w:p w14:paraId="051B6A1E" w14:textId="77777777" w:rsidR="00DA324A" w:rsidRPr="00DA324A" w:rsidRDefault="00DA324A" w:rsidP="00DA324A">
      <w:pPr>
        <w:pStyle w:val="Bibliography"/>
        <w:rPr>
          <w:rFonts w:ascii="Calibri" w:hAnsi="Calibri" w:cs="Calibri"/>
        </w:rPr>
      </w:pPr>
      <w:r w:rsidRPr="00DA324A">
        <w:rPr>
          <w:rFonts w:ascii="Calibri" w:hAnsi="Calibri" w:cs="Calibri"/>
        </w:rPr>
        <w:t xml:space="preserve">19. </w:t>
      </w:r>
      <w:r w:rsidRPr="00DA324A">
        <w:rPr>
          <w:rFonts w:ascii="Calibri" w:hAnsi="Calibri" w:cs="Calibri"/>
        </w:rPr>
        <w:tab/>
        <w:t xml:space="preserve">Wharton S, Lau DCW, Vallis M, Sharma AM, Biertho L, Campbell-Scherer D, et al. Obesity in adults: a clinical practice guideline. CMAJ. 2020 Aug 4;192(31):E875–91. </w:t>
      </w:r>
    </w:p>
    <w:p w14:paraId="07C2B979" w14:textId="77777777" w:rsidR="00DA324A" w:rsidRPr="00DA324A" w:rsidRDefault="00DA324A" w:rsidP="00DA324A">
      <w:pPr>
        <w:pStyle w:val="Bibliography"/>
        <w:rPr>
          <w:rFonts w:ascii="Calibri" w:hAnsi="Calibri" w:cs="Calibri"/>
        </w:rPr>
      </w:pPr>
      <w:r w:rsidRPr="00DA324A">
        <w:rPr>
          <w:rFonts w:ascii="Calibri" w:hAnsi="Calibri" w:cs="Calibri"/>
        </w:rPr>
        <w:lastRenderedPageBreak/>
        <w:t xml:space="preserve">20. </w:t>
      </w:r>
      <w:r w:rsidRPr="00DA324A">
        <w:rPr>
          <w:rFonts w:ascii="Calibri" w:hAnsi="Calibri" w:cs="Calibri"/>
        </w:rPr>
        <w:tab/>
        <w:t>World Health Organization. WHO | About social determinants of health [Internet]. WHO. World Health Organization; 2017 [cited 2020 Jun 12]. Available from: http://www.who.int/social_determinants/sdh_definition/en/</w:t>
      </w:r>
    </w:p>
    <w:p w14:paraId="54520FC0" w14:textId="77777777" w:rsidR="00DA324A" w:rsidRPr="00DA324A" w:rsidRDefault="00DA324A" w:rsidP="00DA324A">
      <w:pPr>
        <w:pStyle w:val="Bibliography"/>
        <w:rPr>
          <w:rFonts w:ascii="Calibri" w:hAnsi="Calibri" w:cs="Calibri"/>
        </w:rPr>
      </w:pPr>
      <w:r w:rsidRPr="00DA324A">
        <w:rPr>
          <w:rFonts w:ascii="Calibri" w:hAnsi="Calibri" w:cs="Calibri"/>
        </w:rPr>
        <w:t xml:space="preserve">21. </w:t>
      </w:r>
      <w:r w:rsidRPr="00DA324A">
        <w:rPr>
          <w:rFonts w:ascii="Calibri" w:hAnsi="Calibri" w:cs="Calibri"/>
        </w:rPr>
        <w:tab/>
        <w:t xml:space="preserve">Felitti VJ, Anda RF, Nordenberg D, Williamson DF, Spitz AM, Edwards V, et al. Relationship of Childhood Abuse and Household Dysfunction to Many of the Leading Causes of Death in Adults: The Adverse Childhood Experiences (ACE) Study. Am J Prev Med. 1998 May 1;14(4):245–58. </w:t>
      </w:r>
    </w:p>
    <w:p w14:paraId="6B332CD0" w14:textId="77777777" w:rsidR="00DA324A" w:rsidRPr="00DA324A" w:rsidRDefault="00DA324A" w:rsidP="00DA324A">
      <w:pPr>
        <w:pStyle w:val="Bibliography"/>
        <w:rPr>
          <w:rFonts w:ascii="Calibri" w:hAnsi="Calibri" w:cs="Calibri"/>
        </w:rPr>
      </w:pPr>
      <w:r w:rsidRPr="00DA324A">
        <w:rPr>
          <w:rFonts w:ascii="Calibri" w:hAnsi="Calibri" w:cs="Calibri"/>
        </w:rPr>
        <w:t xml:space="preserve">22. </w:t>
      </w:r>
      <w:r w:rsidRPr="00DA324A">
        <w:rPr>
          <w:rFonts w:ascii="Calibri" w:hAnsi="Calibri" w:cs="Calibri"/>
        </w:rPr>
        <w:tab/>
        <w:t xml:space="preserve">Tai J, Ajjawi R, Boud D, Dawson P, Panadero E. Developing evaluative judgement: enabling students to make decisions about the quality of work. High Educ. 2018 Sep 1;76(3):467–81. </w:t>
      </w:r>
    </w:p>
    <w:p w14:paraId="254B0F44" w14:textId="77777777" w:rsidR="00DA324A" w:rsidRPr="00DA324A" w:rsidRDefault="00DA324A" w:rsidP="00DA324A">
      <w:pPr>
        <w:pStyle w:val="Bibliography"/>
        <w:rPr>
          <w:rFonts w:ascii="Calibri" w:hAnsi="Calibri" w:cs="Calibri"/>
        </w:rPr>
      </w:pPr>
      <w:r w:rsidRPr="00DA324A">
        <w:rPr>
          <w:rFonts w:ascii="Calibri" w:hAnsi="Calibri" w:cs="Calibri"/>
        </w:rPr>
        <w:t xml:space="preserve">23. </w:t>
      </w:r>
      <w:r w:rsidRPr="00DA324A">
        <w:rPr>
          <w:rFonts w:ascii="Calibri" w:hAnsi="Calibri" w:cs="Calibri"/>
        </w:rPr>
        <w:tab/>
        <w:t xml:space="preserve">Pickering JD, Henningsohn L, DeRuiter MC, Jong PGM de, Reinders MEJ. Twelve tips for developing and delivering a massive open online course in medical education. Med Teach. 2017 Jul 3;39(7):691–6. </w:t>
      </w:r>
    </w:p>
    <w:p w14:paraId="4B95662A" w14:textId="77777777" w:rsidR="00DA324A" w:rsidRPr="00DA324A" w:rsidRDefault="00DA324A" w:rsidP="00DA324A">
      <w:pPr>
        <w:pStyle w:val="Bibliography"/>
        <w:rPr>
          <w:rFonts w:ascii="Calibri" w:hAnsi="Calibri" w:cs="Calibri"/>
        </w:rPr>
      </w:pPr>
      <w:r w:rsidRPr="00DA324A">
        <w:rPr>
          <w:rFonts w:ascii="Calibri" w:hAnsi="Calibri" w:cs="Calibri"/>
        </w:rPr>
        <w:t xml:space="preserve">24. </w:t>
      </w:r>
      <w:r w:rsidRPr="00DA324A">
        <w:rPr>
          <w:rFonts w:ascii="Calibri" w:hAnsi="Calibri" w:cs="Calibri"/>
        </w:rPr>
        <w:tab/>
        <w:t>Freidson E. Profession of medicine : a study of the sociology of applied knowledge [Internet]. New York : Dodd, Mead; 1970 [cited 2020 May 15]. 442 p. Available from: http://archive.org/details/professionofmedi0000frei</w:t>
      </w:r>
    </w:p>
    <w:p w14:paraId="3D7D3785" w14:textId="77777777" w:rsidR="00DA324A" w:rsidRPr="00DA324A" w:rsidRDefault="00DA324A" w:rsidP="00DA324A">
      <w:pPr>
        <w:pStyle w:val="Bibliography"/>
        <w:rPr>
          <w:rFonts w:ascii="Calibri" w:hAnsi="Calibri" w:cs="Calibri"/>
        </w:rPr>
      </w:pPr>
      <w:r w:rsidRPr="00DA324A">
        <w:rPr>
          <w:rFonts w:ascii="Calibri" w:hAnsi="Calibri" w:cs="Calibri"/>
        </w:rPr>
        <w:t xml:space="preserve">25. </w:t>
      </w:r>
      <w:r w:rsidRPr="00DA324A">
        <w:rPr>
          <w:rFonts w:ascii="Calibri" w:hAnsi="Calibri" w:cs="Calibri"/>
        </w:rPr>
        <w:tab/>
        <w:t>Gawande A. How do we heal medicine? [Internet]. 2012 [cited 2020 May 15]. Available from: https://www.ted.com/talks/atul_gawande_how_do_we_heal_medicine</w:t>
      </w:r>
    </w:p>
    <w:p w14:paraId="25088ACB" w14:textId="12BC880E" w:rsidR="007D1811" w:rsidRDefault="00A02925" w:rsidP="00A55129">
      <w:r>
        <w:fldChar w:fldCharType="end"/>
      </w:r>
    </w:p>
    <w:p w14:paraId="768BD635" w14:textId="6DA5A749" w:rsidR="004B0845" w:rsidRDefault="004B0845" w:rsidP="00A55129"/>
    <w:p w14:paraId="070F9B6D" w14:textId="7CCA5A78" w:rsidR="004B0845" w:rsidRDefault="004B0845" w:rsidP="00A55129"/>
    <w:p w14:paraId="004D7ABB" w14:textId="77777777" w:rsidR="004B0845" w:rsidRDefault="004B0845" w:rsidP="00A55129"/>
    <w:sectPr w:rsidR="004B0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77FC"/>
    <w:multiLevelType w:val="hybridMultilevel"/>
    <w:tmpl w:val="7FAAF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6C7663"/>
    <w:multiLevelType w:val="hybridMultilevel"/>
    <w:tmpl w:val="E584A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B9774B"/>
    <w:multiLevelType w:val="hybridMultilevel"/>
    <w:tmpl w:val="872289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5960C3"/>
    <w:multiLevelType w:val="hybridMultilevel"/>
    <w:tmpl w:val="BD7E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7E40C9"/>
    <w:multiLevelType w:val="hybridMultilevel"/>
    <w:tmpl w:val="3076A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3NzA0NDA1Nzc1MTVS0lEKTi0uzszPAykwqQUAnWtThSwAAAA="/>
  </w:docVars>
  <w:rsids>
    <w:rsidRoot w:val="00D83BE6"/>
    <w:rsid w:val="00004D31"/>
    <w:rsid w:val="00010877"/>
    <w:rsid w:val="000141FE"/>
    <w:rsid w:val="000160D2"/>
    <w:rsid w:val="0002188B"/>
    <w:rsid w:val="00025746"/>
    <w:rsid w:val="0003113F"/>
    <w:rsid w:val="00033A13"/>
    <w:rsid w:val="00034DC2"/>
    <w:rsid w:val="0005126C"/>
    <w:rsid w:val="00052700"/>
    <w:rsid w:val="00053252"/>
    <w:rsid w:val="0006746C"/>
    <w:rsid w:val="00071ED9"/>
    <w:rsid w:val="00087168"/>
    <w:rsid w:val="00087A52"/>
    <w:rsid w:val="000A1EEC"/>
    <w:rsid w:val="000A5826"/>
    <w:rsid w:val="000A74AE"/>
    <w:rsid w:val="000B0A88"/>
    <w:rsid w:val="000B6DB6"/>
    <w:rsid w:val="000C094E"/>
    <w:rsid w:val="000C1785"/>
    <w:rsid w:val="000D3441"/>
    <w:rsid w:val="000D59BE"/>
    <w:rsid w:val="000D71D4"/>
    <w:rsid w:val="000E18D3"/>
    <w:rsid w:val="000E2F91"/>
    <w:rsid w:val="000E509A"/>
    <w:rsid w:val="000F052E"/>
    <w:rsid w:val="000F5FE8"/>
    <w:rsid w:val="000F63A0"/>
    <w:rsid w:val="00113B57"/>
    <w:rsid w:val="001168EF"/>
    <w:rsid w:val="001223F8"/>
    <w:rsid w:val="0012473E"/>
    <w:rsid w:val="00130DA7"/>
    <w:rsid w:val="00131BA1"/>
    <w:rsid w:val="001328F1"/>
    <w:rsid w:val="00137947"/>
    <w:rsid w:val="001400C9"/>
    <w:rsid w:val="00160A16"/>
    <w:rsid w:val="001720FC"/>
    <w:rsid w:val="00177D6A"/>
    <w:rsid w:val="0018397C"/>
    <w:rsid w:val="00184AF1"/>
    <w:rsid w:val="00193413"/>
    <w:rsid w:val="001A75E1"/>
    <w:rsid w:val="001B7449"/>
    <w:rsid w:val="001C0240"/>
    <w:rsid w:val="001C0558"/>
    <w:rsid w:val="001C25DE"/>
    <w:rsid w:val="001C371C"/>
    <w:rsid w:val="001C6A43"/>
    <w:rsid w:val="001D46D7"/>
    <w:rsid w:val="001D559E"/>
    <w:rsid w:val="001D5DEF"/>
    <w:rsid w:val="001E1666"/>
    <w:rsid w:val="001E272A"/>
    <w:rsid w:val="001E318F"/>
    <w:rsid w:val="001E398F"/>
    <w:rsid w:val="001E5FFE"/>
    <w:rsid w:val="001E7BE5"/>
    <w:rsid w:val="001F059B"/>
    <w:rsid w:val="001F1CC4"/>
    <w:rsid w:val="001F32F7"/>
    <w:rsid w:val="001F3ADF"/>
    <w:rsid w:val="001F7A1E"/>
    <w:rsid w:val="002108E2"/>
    <w:rsid w:val="00216113"/>
    <w:rsid w:val="00221517"/>
    <w:rsid w:val="0023307B"/>
    <w:rsid w:val="00234573"/>
    <w:rsid w:val="00234A4F"/>
    <w:rsid w:val="00234D8F"/>
    <w:rsid w:val="00236703"/>
    <w:rsid w:val="00243A45"/>
    <w:rsid w:val="00252D6E"/>
    <w:rsid w:val="00253135"/>
    <w:rsid w:val="0026060F"/>
    <w:rsid w:val="00263C8B"/>
    <w:rsid w:val="002670A4"/>
    <w:rsid w:val="00284696"/>
    <w:rsid w:val="00285884"/>
    <w:rsid w:val="00292BF5"/>
    <w:rsid w:val="00293434"/>
    <w:rsid w:val="002A1891"/>
    <w:rsid w:val="002A393F"/>
    <w:rsid w:val="002B5468"/>
    <w:rsid w:val="002C6492"/>
    <w:rsid w:val="002C7D55"/>
    <w:rsid w:val="002D3E5B"/>
    <w:rsid w:val="002D5FC7"/>
    <w:rsid w:val="002D7746"/>
    <w:rsid w:val="002E43C6"/>
    <w:rsid w:val="002E6A37"/>
    <w:rsid w:val="002E7735"/>
    <w:rsid w:val="002F1A11"/>
    <w:rsid w:val="002F4CC1"/>
    <w:rsid w:val="002F4D7C"/>
    <w:rsid w:val="00304DAA"/>
    <w:rsid w:val="003057FD"/>
    <w:rsid w:val="00306980"/>
    <w:rsid w:val="00316912"/>
    <w:rsid w:val="00341DD6"/>
    <w:rsid w:val="00351EC3"/>
    <w:rsid w:val="00357F68"/>
    <w:rsid w:val="00360193"/>
    <w:rsid w:val="00371711"/>
    <w:rsid w:val="00371B1D"/>
    <w:rsid w:val="00371D12"/>
    <w:rsid w:val="00384E7D"/>
    <w:rsid w:val="00395BB4"/>
    <w:rsid w:val="003B66CE"/>
    <w:rsid w:val="003C65DA"/>
    <w:rsid w:val="003D4F89"/>
    <w:rsid w:val="003F2936"/>
    <w:rsid w:val="003F555E"/>
    <w:rsid w:val="00404189"/>
    <w:rsid w:val="0040679E"/>
    <w:rsid w:val="00421FE0"/>
    <w:rsid w:val="00427880"/>
    <w:rsid w:val="00435F1C"/>
    <w:rsid w:val="00440E2C"/>
    <w:rsid w:val="00444317"/>
    <w:rsid w:val="00451B48"/>
    <w:rsid w:val="00471F4E"/>
    <w:rsid w:val="004734B5"/>
    <w:rsid w:val="00481AF7"/>
    <w:rsid w:val="00482A74"/>
    <w:rsid w:val="00485C39"/>
    <w:rsid w:val="00491FC8"/>
    <w:rsid w:val="004A1AC7"/>
    <w:rsid w:val="004A2C5E"/>
    <w:rsid w:val="004B0845"/>
    <w:rsid w:val="004B425A"/>
    <w:rsid w:val="004B6F56"/>
    <w:rsid w:val="004D3AFE"/>
    <w:rsid w:val="004D3F4B"/>
    <w:rsid w:val="004E0832"/>
    <w:rsid w:val="004E43AC"/>
    <w:rsid w:val="004E7031"/>
    <w:rsid w:val="004F09F0"/>
    <w:rsid w:val="004F62A5"/>
    <w:rsid w:val="005112CA"/>
    <w:rsid w:val="00516346"/>
    <w:rsid w:val="00524FCB"/>
    <w:rsid w:val="005258CA"/>
    <w:rsid w:val="005325A5"/>
    <w:rsid w:val="00534268"/>
    <w:rsid w:val="00540B28"/>
    <w:rsid w:val="0054175F"/>
    <w:rsid w:val="005503CB"/>
    <w:rsid w:val="005726AF"/>
    <w:rsid w:val="00574EA1"/>
    <w:rsid w:val="00587ED5"/>
    <w:rsid w:val="00590652"/>
    <w:rsid w:val="005919E9"/>
    <w:rsid w:val="00591F31"/>
    <w:rsid w:val="00596AB6"/>
    <w:rsid w:val="00597866"/>
    <w:rsid w:val="00597B59"/>
    <w:rsid w:val="00597B7D"/>
    <w:rsid w:val="005A4553"/>
    <w:rsid w:val="005A7A27"/>
    <w:rsid w:val="005B141A"/>
    <w:rsid w:val="005B3FB1"/>
    <w:rsid w:val="005C0F69"/>
    <w:rsid w:val="005C10BA"/>
    <w:rsid w:val="005D1119"/>
    <w:rsid w:val="005D280F"/>
    <w:rsid w:val="005E2BD9"/>
    <w:rsid w:val="005F1C65"/>
    <w:rsid w:val="005F2D59"/>
    <w:rsid w:val="005F2EFA"/>
    <w:rsid w:val="005F35CE"/>
    <w:rsid w:val="0060497B"/>
    <w:rsid w:val="00605E2D"/>
    <w:rsid w:val="006145BF"/>
    <w:rsid w:val="0061546E"/>
    <w:rsid w:val="00615E53"/>
    <w:rsid w:val="00651796"/>
    <w:rsid w:val="00652C7A"/>
    <w:rsid w:val="00653FD7"/>
    <w:rsid w:val="00663AFA"/>
    <w:rsid w:val="00671CF6"/>
    <w:rsid w:val="0067247B"/>
    <w:rsid w:val="006724E4"/>
    <w:rsid w:val="00680A01"/>
    <w:rsid w:val="006845D6"/>
    <w:rsid w:val="00695C7B"/>
    <w:rsid w:val="006A0C07"/>
    <w:rsid w:val="006A527F"/>
    <w:rsid w:val="006B375A"/>
    <w:rsid w:val="006C1730"/>
    <w:rsid w:val="006E6377"/>
    <w:rsid w:val="006F2466"/>
    <w:rsid w:val="00701300"/>
    <w:rsid w:val="00704A33"/>
    <w:rsid w:val="00704C3C"/>
    <w:rsid w:val="00725B14"/>
    <w:rsid w:val="00736217"/>
    <w:rsid w:val="007631AF"/>
    <w:rsid w:val="00774FE7"/>
    <w:rsid w:val="00784812"/>
    <w:rsid w:val="007922BB"/>
    <w:rsid w:val="0079435F"/>
    <w:rsid w:val="007B14D2"/>
    <w:rsid w:val="007C1F4A"/>
    <w:rsid w:val="007C3586"/>
    <w:rsid w:val="007C6B3A"/>
    <w:rsid w:val="007D1811"/>
    <w:rsid w:val="007D1BF2"/>
    <w:rsid w:val="007D4683"/>
    <w:rsid w:val="007D5EC9"/>
    <w:rsid w:val="007D5F17"/>
    <w:rsid w:val="007D6AF8"/>
    <w:rsid w:val="007D6E3D"/>
    <w:rsid w:val="007D77E2"/>
    <w:rsid w:val="007E0BAD"/>
    <w:rsid w:val="007E6669"/>
    <w:rsid w:val="007E6AA3"/>
    <w:rsid w:val="007F1323"/>
    <w:rsid w:val="0080110E"/>
    <w:rsid w:val="00801392"/>
    <w:rsid w:val="0080206E"/>
    <w:rsid w:val="008034A7"/>
    <w:rsid w:val="008107B0"/>
    <w:rsid w:val="00810C08"/>
    <w:rsid w:val="008111E1"/>
    <w:rsid w:val="00825B39"/>
    <w:rsid w:val="00826A2C"/>
    <w:rsid w:val="00831CC6"/>
    <w:rsid w:val="00835FA2"/>
    <w:rsid w:val="00843D86"/>
    <w:rsid w:val="008605FF"/>
    <w:rsid w:val="00860C59"/>
    <w:rsid w:val="00860F2F"/>
    <w:rsid w:val="008638EF"/>
    <w:rsid w:val="00880F1B"/>
    <w:rsid w:val="00881967"/>
    <w:rsid w:val="00892D05"/>
    <w:rsid w:val="00894F74"/>
    <w:rsid w:val="008964A1"/>
    <w:rsid w:val="008A4C95"/>
    <w:rsid w:val="008A51D8"/>
    <w:rsid w:val="008A78D0"/>
    <w:rsid w:val="008C5856"/>
    <w:rsid w:val="008E17E3"/>
    <w:rsid w:val="008E3E22"/>
    <w:rsid w:val="008F462A"/>
    <w:rsid w:val="008F4694"/>
    <w:rsid w:val="008F5355"/>
    <w:rsid w:val="00902420"/>
    <w:rsid w:val="00903B1B"/>
    <w:rsid w:val="009042F6"/>
    <w:rsid w:val="00905357"/>
    <w:rsid w:val="00926255"/>
    <w:rsid w:val="009267DF"/>
    <w:rsid w:val="009306FB"/>
    <w:rsid w:val="00935CEF"/>
    <w:rsid w:val="009438FD"/>
    <w:rsid w:val="0096013F"/>
    <w:rsid w:val="00970F2A"/>
    <w:rsid w:val="009743B0"/>
    <w:rsid w:val="00982C7A"/>
    <w:rsid w:val="00987666"/>
    <w:rsid w:val="00990169"/>
    <w:rsid w:val="00991310"/>
    <w:rsid w:val="009A5288"/>
    <w:rsid w:val="009B2706"/>
    <w:rsid w:val="009B6A2C"/>
    <w:rsid w:val="009C1E6B"/>
    <w:rsid w:val="009C797B"/>
    <w:rsid w:val="009D6BA5"/>
    <w:rsid w:val="009E2B4D"/>
    <w:rsid w:val="009E3349"/>
    <w:rsid w:val="009E50AF"/>
    <w:rsid w:val="009E5CC6"/>
    <w:rsid w:val="009F0B86"/>
    <w:rsid w:val="00A01E8A"/>
    <w:rsid w:val="00A02925"/>
    <w:rsid w:val="00A03868"/>
    <w:rsid w:val="00A041A8"/>
    <w:rsid w:val="00A12FD1"/>
    <w:rsid w:val="00A133EE"/>
    <w:rsid w:val="00A142B0"/>
    <w:rsid w:val="00A144C7"/>
    <w:rsid w:val="00A20453"/>
    <w:rsid w:val="00A30EAE"/>
    <w:rsid w:val="00A403F2"/>
    <w:rsid w:val="00A405F8"/>
    <w:rsid w:val="00A420CB"/>
    <w:rsid w:val="00A45879"/>
    <w:rsid w:val="00A53120"/>
    <w:rsid w:val="00A54E71"/>
    <w:rsid w:val="00A55129"/>
    <w:rsid w:val="00A661D2"/>
    <w:rsid w:val="00A80E2E"/>
    <w:rsid w:val="00A81881"/>
    <w:rsid w:val="00A84720"/>
    <w:rsid w:val="00A86908"/>
    <w:rsid w:val="00A93DB2"/>
    <w:rsid w:val="00AA2B97"/>
    <w:rsid w:val="00AB0886"/>
    <w:rsid w:val="00AB3091"/>
    <w:rsid w:val="00AC1482"/>
    <w:rsid w:val="00AD163B"/>
    <w:rsid w:val="00AD438E"/>
    <w:rsid w:val="00AE7167"/>
    <w:rsid w:val="00AF02FB"/>
    <w:rsid w:val="00AF4867"/>
    <w:rsid w:val="00B14C14"/>
    <w:rsid w:val="00B42102"/>
    <w:rsid w:val="00B421F9"/>
    <w:rsid w:val="00B43857"/>
    <w:rsid w:val="00B44D90"/>
    <w:rsid w:val="00B55B96"/>
    <w:rsid w:val="00B70736"/>
    <w:rsid w:val="00B72015"/>
    <w:rsid w:val="00B869D6"/>
    <w:rsid w:val="00B91263"/>
    <w:rsid w:val="00B97441"/>
    <w:rsid w:val="00BB724D"/>
    <w:rsid w:val="00BC4594"/>
    <w:rsid w:val="00BC5F10"/>
    <w:rsid w:val="00BD15C2"/>
    <w:rsid w:val="00BD16F1"/>
    <w:rsid w:val="00BD1BB5"/>
    <w:rsid w:val="00BD3B3B"/>
    <w:rsid w:val="00BF19E2"/>
    <w:rsid w:val="00BF23F3"/>
    <w:rsid w:val="00C0688B"/>
    <w:rsid w:val="00C200F7"/>
    <w:rsid w:val="00C23F1D"/>
    <w:rsid w:val="00C241C4"/>
    <w:rsid w:val="00C3351F"/>
    <w:rsid w:val="00C54DCC"/>
    <w:rsid w:val="00C56492"/>
    <w:rsid w:val="00C61B62"/>
    <w:rsid w:val="00C72AB8"/>
    <w:rsid w:val="00C90FD2"/>
    <w:rsid w:val="00CA07FA"/>
    <w:rsid w:val="00CA386D"/>
    <w:rsid w:val="00CA60E6"/>
    <w:rsid w:val="00CB10B4"/>
    <w:rsid w:val="00CB1721"/>
    <w:rsid w:val="00CB3A8F"/>
    <w:rsid w:val="00CC073A"/>
    <w:rsid w:val="00CC3DFF"/>
    <w:rsid w:val="00CD3B59"/>
    <w:rsid w:val="00CE0E88"/>
    <w:rsid w:val="00CE73D6"/>
    <w:rsid w:val="00CF52FF"/>
    <w:rsid w:val="00D02AF0"/>
    <w:rsid w:val="00D14663"/>
    <w:rsid w:val="00D1470A"/>
    <w:rsid w:val="00D33041"/>
    <w:rsid w:val="00D338D6"/>
    <w:rsid w:val="00D478B3"/>
    <w:rsid w:val="00D5609C"/>
    <w:rsid w:val="00D65B28"/>
    <w:rsid w:val="00D6691B"/>
    <w:rsid w:val="00D67C0B"/>
    <w:rsid w:val="00D70BA6"/>
    <w:rsid w:val="00D83BE6"/>
    <w:rsid w:val="00D85B17"/>
    <w:rsid w:val="00D96D32"/>
    <w:rsid w:val="00DA324A"/>
    <w:rsid w:val="00DA584C"/>
    <w:rsid w:val="00DB7D86"/>
    <w:rsid w:val="00DC16F4"/>
    <w:rsid w:val="00DC360F"/>
    <w:rsid w:val="00DC7757"/>
    <w:rsid w:val="00DD2353"/>
    <w:rsid w:val="00DD3247"/>
    <w:rsid w:val="00DD5887"/>
    <w:rsid w:val="00DD6F1D"/>
    <w:rsid w:val="00DE3CE1"/>
    <w:rsid w:val="00DE4EC9"/>
    <w:rsid w:val="00DF1050"/>
    <w:rsid w:val="00DF1E8E"/>
    <w:rsid w:val="00DF2F2F"/>
    <w:rsid w:val="00DF353A"/>
    <w:rsid w:val="00DF3729"/>
    <w:rsid w:val="00DF788D"/>
    <w:rsid w:val="00E00C59"/>
    <w:rsid w:val="00E01E3E"/>
    <w:rsid w:val="00E04DA7"/>
    <w:rsid w:val="00E05596"/>
    <w:rsid w:val="00E07933"/>
    <w:rsid w:val="00E11325"/>
    <w:rsid w:val="00E115F3"/>
    <w:rsid w:val="00E130CC"/>
    <w:rsid w:val="00E14491"/>
    <w:rsid w:val="00E25579"/>
    <w:rsid w:val="00E26546"/>
    <w:rsid w:val="00E2739A"/>
    <w:rsid w:val="00E30A72"/>
    <w:rsid w:val="00E32964"/>
    <w:rsid w:val="00E33450"/>
    <w:rsid w:val="00E354EB"/>
    <w:rsid w:val="00E378C3"/>
    <w:rsid w:val="00E442ED"/>
    <w:rsid w:val="00E517FC"/>
    <w:rsid w:val="00E51BEA"/>
    <w:rsid w:val="00E55093"/>
    <w:rsid w:val="00E5717A"/>
    <w:rsid w:val="00E63D71"/>
    <w:rsid w:val="00E71562"/>
    <w:rsid w:val="00E77D7E"/>
    <w:rsid w:val="00E86FC6"/>
    <w:rsid w:val="00E956B9"/>
    <w:rsid w:val="00E976FF"/>
    <w:rsid w:val="00EA0F7E"/>
    <w:rsid w:val="00EA5F96"/>
    <w:rsid w:val="00EB672D"/>
    <w:rsid w:val="00EC1158"/>
    <w:rsid w:val="00EC7B57"/>
    <w:rsid w:val="00ED694E"/>
    <w:rsid w:val="00ED763E"/>
    <w:rsid w:val="00EE2D20"/>
    <w:rsid w:val="00EE60F1"/>
    <w:rsid w:val="00F00B0D"/>
    <w:rsid w:val="00F05F9D"/>
    <w:rsid w:val="00F0621D"/>
    <w:rsid w:val="00F077BD"/>
    <w:rsid w:val="00F13363"/>
    <w:rsid w:val="00F15130"/>
    <w:rsid w:val="00F175C2"/>
    <w:rsid w:val="00F22DD8"/>
    <w:rsid w:val="00F3458E"/>
    <w:rsid w:val="00F410F1"/>
    <w:rsid w:val="00F45AF4"/>
    <w:rsid w:val="00F46CD8"/>
    <w:rsid w:val="00F5073D"/>
    <w:rsid w:val="00F53B53"/>
    <w:rsid w:val="00F6537A"/>
    <w:rsid w:val="00F74389"/>
    <w:rsid w:val="00F745BE"/>
    <w:rsid w:val="00F85438"/>
    <w:rsid w:val="00F95C94"/>
    <w:rsid w:val="00F97BD6"/>
    <w:rsid w:val="00FB01BD"/>
    <w:rsid w:val="00FB11C6"/>
    <w:rsid w:val="00FB3E9F"/>
    <w:rsid w:val="00FB51FC"/>
    <w:rsid w:val="00FB7ADC"/>
    <w:rsid w:val="00FC40F0"/>
    <w:rsid w:val="00FC4E0A"/>
    <w:rsid w:val="00FC5E98"/>
    <w:rsid w:val="00FD0150"/>
    <w:rsid w:val="00FD3178"/>
    <w:rsid w:val="00FE10E9"/>
    <w:rsid w:val="00FE4B69"/>
    <w:rsid w:val="00FE62EE"/>
    <w:rsid w:val="00FE66B6"/>
    <w:rsid w:val="00FE7A65"/>
    <w:rsid w:val="00FF369F"/>
    <w:rsid w:val="00FF4D49"/>
    <w:rsid w:val="00FF7DDF"/>
    <w:rsid w:val="00FF7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CB9F"/>
  <w15:docId w15:val="{AB0EF8C9-D433-41D9-8845-2D32131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11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BE6"/>
    <w:pPr>
      <w:spacing w:after="0" w:line="240" w:lineRule="auto"/>
    </w:pPr>
  </w:style>
  <w:style w:type="paragraph" w:styleId="Bibliography">
    <w:name w:val="Bibliography"/>
    <w:basedOn w:val="Normal"/>
    <w:next w:val="Normal"/>
    <w:uiPriority w:val="37"/>
    <w:unhideWhenUsed/>
    <w:rsid w:val="007D1811"/>
    <w:pPr>
      <w:tabs>
        <w:tab w:val="left" w:pos="504"/>
      </w:tabs>
      <w:spacing w:after="240" w:line="240" w:lineRule="auto"/>
      <w:ind w:left="504" w:hanging="504"/>
    </w:pPr>
  </w:style>
  <w:style w:type="character" w:customStyle="1" w:styleId="Heading1Char">
    <w:name w:val="Heading 1 Char"/>
    <w:basedOn w:val="DefaultParagraphFont"/>
    <w:link w:val="Heading1"/>
    <w:uiPriority w:val="9"/>
    <w:rsid w:val="007C35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92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5126C"/>
    <w:rPr>
      <w:sz w:val="16"/>
      <w:szCs w:val="16"/>
    </w:rPr>
  </w:style>
  <w:style w:type="paragraph" w:styleId="CommentText">
    <w:name w:val="annotation text"/>
    <w:basedOn w:val="Normal"/>
    <w:link w:val="CommentTextChar"/>
    <w:uiPriority w:val="99"/>
    <w:semiHidden/>
    <w:unhideWhenUsed/>
    <w:rsid w:val="0005126C"/>
    <w:pPr>
      <w:spacing w:line="240" w:lineRule="auto"/>
    </w:pPr>
    <w:rPr>
      <w:sz w:val="20"/>
      <w:szCs w:val="20"/>
    </w:rPr>
  </w:style>
  <w:style w:type="character" w:customStyle="1" w:styleId="CommentTextChar">
    <w:name w:val="Comment Text Char"/>
    <w:basedOn w:val="DefaultParagraphFont"/>
    <w:link w:val="CommentText"/>
    <w:uiPriority w:val="99"/>
    <w:semiHidden/>
    <w:rsid w:val="0005126C"/>
    <w:rPr>
      <w:sz w:val="20"/>
      <w:szCs w:val="20"/>
    </w:rPr>
  </w:style>
  <w:style w:type="paragraph" w:styleId="CommentSubject">
    <w:name w:val="annotation subject"/>
    <w:basedOn w:val="CommentText"/>
    <w:next w:val="CommentText"/>
    <w:link w:val="CommentSubjectChar"/>
    <w:uiPriority w:val="99"/>
    <w:semiHidden/>
    <w:unhideWhenUsed/>
    <w:rsid w:val="0005126C"/>
    <w:rPr>
      <w:b/>
      <w:bCs/>
    </w:rPr>
  </w:style>
  <w:style w:type="character" w:customStyle="1" w:styleId="CommentSubjectChar">
    <w:name w:val="Comment Subject Char"/>
    <w:basedOn w:val="CommentTextChar"/>
    <w:link w:val="CommentSubject"/>
    <w:uiPriority w:val="99"/>
    <w:semiHidden/>
    <w:rsid w:val="0005126C"/>
    <w:rPr>
      <w:b/>
      <w:bCs/>
      <w:sz w:val="20"/>
      <w:szCs w:val="20"/>
    </w:rPr>
  </w:style>
  <w:style w:type="paragraph" w:styleId="BalloonText">
    <w:name w:val="Balloon Text"/>
    <w:basedOn w:val="Normal"/>
    <w:link w:val="BalloonTextChar"/>
    <w:uiPriority w:val="99"/>
    <w:semiHidden/>
    <w:unhideWhenUsed/>
    <w:rsid w:val="0005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6C"/>
    <w:rPr>
      <w:rFonts w:ascii="Segoe UI" w:hAnsi="Segoe UI" w:cs="Segoe UI"/>
      <w:sz w:val="18"/>
      <w:szCs w:val="18"/>
    </w:rPr>
  </w:style>
  <w:style w:type="character" w:customStyle="1" w:styleId="Heading3Char">
    <w:name w:val="Heading 3 Char"/>
    <w:basedOn w:val="DefaultParagraphFont"/>
    <w:link w:val="Heading3"/>
    <w:uiPriority w:val="9"/>
    <w:rsid w:val="00FB11C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55B96"/>
    <w:pPr>
      <w:ind w:left="720"/>
      <w:contextualSpacing/>
    </w:pPr>
  </w:style>
  <w:style w:type="character" w:styleId="Hyperlink">
    <w:name w:val="Hyperlink"/>
    <w:basedOn w:val="DefaultParagraphFont"/>
    <w:uiPriority w:val="99"/>
    <w:unhideWhenUsed/>
    <w:rsid w:val="00D5609C"/>
    <w:rPr>
      <w:color w:val="0563C1" w:themeColor="hyperlink"/>
      <w:u w:val="single"/>
    </w:rPr>
  </w:style>
  <w:style w:type="character" w:customStyle="1" w:styleId="UnresolvedMention1">
    <w:name w:val="Unresolved Mention1"/>
    <w:basedOn w:val="DefaultParagraphFont"/>
    <w:uiPriority w:val="99"/>
    <w:semiHidden/>
    <w:unhideWhenUsed/>
    <w:rsid w:val="00D5609C"/>
    <w:rPr>
      <w:color w:val="605E5C"/>
      <w:shd w:val="clear" w:color="auto" w:fill="E1DFDD"/>
    </w:rPr>
  </w:style>
  <w:style w:type="character" w:styleId="FollowedHyperlink">
    <w:name w:val="FollowedHyperlink"/>
    <w:basedOn w:val="DefaultParagraphFont"/>
    <w:uiPriority w:val="99"/>
    <w:semiHidden/>
    <w:unhideWhenUsed/>
    <w:rsid w:val="00C54DCC"/>
    <w:rPr>
      <w:color w:val="954F72" w:themeColor="followedHyperlink"/>
      <w:u w:val="single"/>
    </w:rPr>
  </w:style>
  <w:style w:type="table" w:styleId="TableGrid">
    <w:name w:val="Table Grid"/>
    <w:basedOn w:val="TableNormal"/>
    <w:uiPriority w:val="39"/>
    <w:rsid w:val="00F5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0318">
      <w:bodyDiv w:val="1"/>
      <w:marLeft w:val="0"/>
      <w:marRight w:val="0"/>
      <w:marTop w:val="0"/>
      <w:marBottom w:val="0"/>
      <w:divBdr>
        <w:top w:val="none" w:sz="0" w:space="0" w:color="auto"/>
        <w:left w:val="none" w:sz="0" w:space="0" w:color="auto"/>
        <w:bottom w:val="none" w:sz="0" w:space="0" w:color="auto"/>
        <w:right w:val="none" w:sz="0" w:space="0" w:color="auto"/>
      </w:divBdr>
    </w:div>
    <w:div w:id="136383896">
      <w:bodyDiv w:val="1"/>
      <w:marLeft w:val="0"/>
      <w:marRight w:val="0"/>
      <w:marTop w:val="0"/>
      <w:marBottom w:val="0"/>
      <w:divBdr>
        <w:top w:val="none" w:sz="0" w:space="0" w:color="auto"/>
        <w:left w:val="none" w:sz="0" w:space="0" w:color="auto"/>
        <w:bottom w:val="none" w:sz="0" w:space="0" w:color="auto"/>
        <w:right w:val="none" w:sz="0" w:space="0" w:color="auto"/>
      </w:divBdr>
    </w:div>
    <w:div w:id="623082422">
      <w:bodyDiv w:val="1"/>
      <w:marLeft w:val="0"/>
      <w:marRight w:val="0"/>
      <w:marTop w:val="0"/>
      <w:marBottom w:val="0"/>
      <w:divBdr>
        <w:top w:val="none" w:sz="0" w:space="0" w:color="auto"/>
        <w:left w:val="none" w:sz="0" w:space="0" w:color="auto"/>
        <w:bottom w:val="none" w:sz="0" w:space="0" w:color="auto"/>
        <w:right w:val="none" w:sz="0" w:space="0" w:color="auto"/>
      </w:divBdr>
    </w:div>
    <w:div w:id="833955557">
      <w:bodyDiv w:val="1"/>
      <w:marLeft w:val="0"/>
      <w:marRight w:val="0"/>
      <w:marTop w:val="0"/>
      <w:marBottom w:val="0"/>
      <w:divBdr>
        <w:top w:val="none" w:sz="0" w:space="0" w:color="auto"/>
        <w:left w:val="none" w:sz="0" w:space="0" w:color="auto"/>
        <w:bottom w:val="none" w:sz="0" w:space="0" w:color="auto"/>
        <w:right w:val="none" w:sz="0" w:space="0" w:color="auto"/>
      </w:divBdr>
    </w:div>
    <w:div w:id="970133363">
      <w:bodyDiv w:val="1"/>
      <w:marLeft w:val="0"/>
      <w:marRight w:val="0"/>
      <w:marTop w:val="0"/>
      <w:marBottom w:val="0"/>
      <w:divBdr>
        <w:top w:val="none" w:sz="0" w:space="0" w:color="auto"/>
        <w:left w:val="none" w:sz="0" w:space="0" w:color="auto"/>
        <w:bottom w:val="none" w:sz="0" w:space="0" w:color="auto"/>
        <w:right w:val="none" w:sz="0" w:space="0" w:color="auto"/>
      </w:divBdr>
      <w:divsChild>
        <w:div w:id="2133937824">
          <w:marLeft w:val="75"/>
          <w:marRight w:val="75"/>
          <w:marTop w:val="0"/>
          <w:marBottom w:val="0"/>
          <w:divBdr>
            <w:top w:val="none" w:sz="0" w:space="0" w:color="auto"/>
            <w:left w:val="none" w:sz="0" w:space="0" w:color="auto"/>
            <w:bottom w:val="none" w:sz="0" w:space="0" w:color="auto"/>
            <w:right w:val="none" w:sz="0" w:space="0" w:color="auto"/>
          </w:divBdr>
        </w:div>
        <w:div w:id="1772820326">
          <w:marLeft w:val="75"/>
          <w:marRight w:val="75"/>
          <w:marTop w:val="0"/>
          <w:marBottom w:val="0"/>
          <w:divBdr>
            <w:top w:val="none" w:sz="0" w:space="0" w:color="auto"/>
            <w:left w:val="none" w:sz="0" w:space="0" w:color="auto"/>
            <w:bottom w:val="none" w:sz="0" w:space="0" w:color="auto"/>
            <w:right w:val="none" w:sz="0" w:space="0" w:color="auto"/>
          </w:divBdr>
        </w:div>
      </w:divsChild>
    </w:div>
    <w:div w:id="1007824642">
      <w:bodyDiv w:val="1"/>
      <w:marLeft w:val="0"/>
      <w:marRight w:val="0"/>
      <w:marTop w:val="0"/>
      <w:marBottom w:val="0"/>
      <w:divBdr>
        <w:top w:val="none" w:sz="0" w:space="0" w:color="auto"/>
        <w:left w:val="none" w:sz="0" w:space="0" w:color="auto"/>
        <w:bottom w:val="none" w:sz="0" w:space="0" w:color="auto"/>
        <w:right w:val="none" w:sz="0" w:space="0" w:color="auto"/>
      </w:divBdr>
    </w:div>
    <w:div w:id="18298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5B17D98324346872826530135923A" ma:contentTypeVersion="10" ma:contentTypeDescription="Create a new document." ma:contentTypeScope="" ma:versionID="72531d93cb5c07f8f567af9b146aa106">
  <xsd:schema xmlns:xsd="http://www.w3.org/2001/XMLSchema" xmlns:xs="http://www.w3.org/2001/XMLSchema" xmlns:p="http://schemas.microsoft.com/office/2006/metadata/properties" xmlns:ns3="76431459-f818-4fa7-b5b7-a4b16eab5d67" xmlns:ns4="4c04355c-8912-4bec-8dfe-05b4bd2bc516" targetNamespace="http://schemas.microsoft.com/office/2006/metadata/properties" ma:root="true" ma:fieldsID="e8d3fefa437d5f6aef27e23d546affcf" ns3:_="" ns4:_="">
    <xsd:import namespace="76431459-f818-4fa7-b5b7-a4b16eab5d67"/>
    <xsd:import namespace="4c04355c-8912-4bec-8dfe-05b4bd2bc5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1459-f818-4fa7-b5b7-a4b16eab5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4355c-8912-4bec-8dfe-05b4bd2bc5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1DD84-185C-4E03-8B4D-57068D1387EC}">
  <ds:schemaRefs>
    <ds:schemaRef ds:uri="http://schemas.openxmlformats.org/officeDocument/2006/bibliography"/>
  </ds:schemaRefs>
</ds:datastoreItem>
</file>

<file path=customXml/itemProps2.xml><?xml version="1.0" encoding="utf-8"?>
<ds:datastoreItem xmlns:ds="http://schemas.openxmlformats.org/officeDocument/2006/customXml" ds:itemID="{AFFC45C8-AC42-4DF0-BF3B-46BC447EB859}">
  <ds:schemaRefs>
    <ds:schemaRef ds:uri="http://schemas.microsoft.com/sharepoint/v3/contenttype/forms"/>
  </ds:schemaRefs>
</ds:datastoreItem>
</file>

<file path=customXml/itemProps3.xml><?xml version="1.0" encoding="utf-8"?>
<ds:datastoreItem xmlns:ds="http://schemas.openxmlformats.org/officeDocument/2006/customXml" ds:itemID="{F44EDB58-4A35-45BE-85A1-C407DF32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1459-f818-4fa7-b5b7-a4b16eab5d67"/>
    <ds:schemaRef ds:uri="4c04355c-8912-4bec-8dfe-05b4bd2bc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06671-48ED-479D-AF27-8A79A4D12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12727</Words>
  <Characters>72547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Huang</dc:creator>
  <cp:lastModifiedBy>Andrew Huang</cp:lastModifiedBy>
  <cp:revision>8</cp:revision>
  <dcterms:created xsi:type="dcterms:W3CDTF">2020-10-13T20:50:00Z</dcterms:created>
  <dcterms:modified xsi:type="dcterms:W3CDTF">2020-10-17T10:59:00Z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id="4FD5FNRm"/&gt;&lt;style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ContentTypeId">
    <vt:lpwstr>0x0101005F45B17D98324346872826530135923A</vt:lpwstr>
  </property>
</Properties>
</file>